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D82" w:rsidRDefault="00F70B60">
      <w:pPr>
        <w:pStyle w:val="Bodytext20"/>
        <w:shd w:val="clear" w:color="auto" w:fill="auto"/>
        <w:spacing w:after="810" w:line="240" w:lineRule="exact"/>
      </w:pPr>
      <w:r>
        <w:rPr>
          <w:rStyle w:val="Bodytext2"/>
          <w:color w:val="000000"/>
        </w:rPr>
        <w:t>Bolesławiec, dnia 17 marca 2021 r.</w:t>
      </w:r>
    </w:p>
    <w:p w:rsidR="00741D82" w:rsidRDefault="00F70B60">
      <w:pPr>
        <w:pStyle w:val="Heading10"/>
        <w:keepNext/>
        <w:keepLines/>
        <w:shd w:val="clear" w:color="auto" w:fill="auto"/>
        <w:spacing w:before="0"/>
        <w:ind w:left="20"/>
      </w:pPr>
      <w:bookmarkStart w:id="0" w:name="bookmark0"/>
      <w:r>
        <w:rPr>
          <w:rStyle w:val="Heading1"/>
          <w:b/>
          <w:bCs/>
          <w:color w:val="000000"/>
        </w:rPr>
        <w:t>Informacja Prokuratora Rejonowego w Bolesławcu</w:t>
      </w:r>
      <w:r>
        <w:rPr>
          <w:rStyle w:val="Heading1"/>
          <w:b/>
          <w:bCs/>
          <w:color w:val="000000"/>
        </w:rPr>
        <w:br/>
        <w:t>o stanie porządku i bezpieczeństwa publicznego w mieście Bolesławcu i w powiecie</w:t>
      </w:r>
      <w:bookmarkEnd w:id="0"/>
    </w:p>
    <w:p w:rsidR="00741D82" w:rsidRDefault="00F70B60">
      <w:pPr>
        <w:pStyle w:val="Heading10"/>
        <w:keepNext/>
        <w:keepLines/>
        <w:shd w:val="clear" w:color="auto" w:fill="auto"/>
        <w:spacing w:before="0" w:after="360"/>
        <w:ind w:left="20"/>
      </w:pPr>
      <w:bookmarkStart w:id="1" w:name="bookmark1"/>
      <w:r>
        <w:rPr>
          <w:rStyle w:val="Heading1"/>
          <w:b/>
          <w:bCs/>
          <w:color w:val="000000"/>
        </w:rPr>
        <w:t>bolesławieckim w roku 2020.</w:t>
      </w:r>
      <w:bookmarkEnd w:id="1"/>
    </w:p>
    <w:p w:rsidR="00741D82" w:rsidRDefault="00F70B60">
      <w:pPr>
        <w:pStyle w:val="Bodytext20"/>
        <w:shd w:val="clear" w:color="auto" w:fill="auto"/>
        <w:spacing w:after="0" w:line="410" w:lineRule="exact"/>
        <w:ind w:firstLine="760"/>
        <w:jc w:val="both"/>
      </w:pPr>
      <w:r>
        <w:rPr>
          <w:rStyle w:val="Bodytext2"/>
          <w:color w:val="000000"/>
        </w:rPr>
        <w:t>W związku mającym się odbyć w dniu 31 marca 2021 roku posi</w:t>
      </w:r>
      <w:r w:rsidR="00A1104D">
        <w:rPr>
          <w:rStyle w:val="Bodytext2"/>
          <w:color w:val="000000"/>
        </w:rPr>
        <w:t>edzeniem Rady Miasta Bolesławca</w:t>
      </w:r>
      <w:r>
        <w:rPr>
          <w:rStyle w:val="Bodytext2"/>
          <w:color w:val="000000"/>
        </w:rPr>
        <w:t>, której przedmiotem będzie stan porządku i bezpiec</w:t>
      </w:r>
      <w:r w:rsidR="00A1104D">
        <w:rPr>
          <w:rStyle w:val="Bodytext2"/>
          <w:color w:val="000000"/>
        </w:rPr>
        <w:t>zeństwa publicznego za 2020 rok</w:t>
      </w:r>
      <w:r>
        <w:rPr>
          <w:rStyle w:val="Bodytext2"/>
          <w:color w:val="000000"/>
        </w:rPr>
        <w:t>, przedstawiam Wysokiej Radzie informację zawierającą najważniejsze wskaźniki pozwalające na dokonanie oceny stanu bezpieczeństwa w poprzednim roku przez wskazanie podejmowanych działań, uzyskanych wyników i istniejących zagrożeń.</w:t>
      </w:r>
    </w:p>
    <w:p w:rsidR="00741D82" w:rsidRDefault="00F70B60">
      <w:pPr>
        <w:pStyle w:val="Bodytext20"/>
        <w:shd w:val="clear" w:color="auto" w:fill="auto"/>
        <w:spacing w:after="0" w:line="410" w:lineRule="exact"/>
        <w:ind w:firstLine="760"/>
        <w:jc w:val="both"/>
      </w:pPr>
      <w:r>
        <w:rPr>
          <w:rStyle w:val="Bodytext2"/>
          <w:color w:val="000000"/>
        </w:rPr>
        <w:t>Rok 2020 był dla wszystkich rokiem specyficznym w związku z trwającą pandemią i koniecznością dostos</w:t>
      </w:r>
      <w:r w:rsidR="00A1104D">
        <w:rPr>
          <w:rStyle w:val="Bodytext2"/>
          <w:color w:val="000000"/>
        </w:rPr>
        <w:t>owania pracy do nowych warunków w</w:t>
      </w:r>
      <w:r>
        <w:rPr>
          <w:rStyle w:val="Bodytext2"/>
          <w:color w:val="000000"/>
        </w:rPr>
        <w:t xml:space="preserve"> związku z wpr</w:t>
      </w:r>
      <w:r w:rsidR="00A1104D">
        <w:rPr>
          <w:rStyle w:val="Bodytext2"/>
          <w:color w:val="000000"/>
        </w:rPr>
        <w:t>owadzonymi reżimami sanitarnymi</w:t>
      </w:r>
      <w:r>
        <w:rPr>
          <w:rStyle w:val="Bodytext2"/>
          <w:color w:val="000000"/>
        </w:rPr>
        <w:t>, koniecznością ochrony zdrowia pracowników Prokuratury oraz wszystkich uczestników prowadzonych postępowań karnych.</w:t>
      </w:r>
    </w:p>
    <w:p w:rsidR="00741D82" w:rsidRDefault="00A1104D">
      <w:pPr>
        <w:pStyle w:val="Bodytext20"/>
        <w:shd w:val="clear" w:color="auto" w:fill="auto"/>
        <w:spacing w:after="0" w:line="410" w:lineRule="exact"/>
        <w:ind w:firstLine="760"/>
        <w:jc w:val="both"/>
      </w:pPr>
      <w:r>
        <w:rPr>
          <w:rStyle w:val="Bodytext2"/>
          <w:color w:val="000000"/>
        </w:rPr>
        <w:t>Należy zaznaczyć</w:t>
      </w:r>
      <w:r w:rsidR="00F70B60">
        <w:rPr>
          <w:rStyle w:val="Bodytext2"/>
          <w:color w:val="000000"/>
        </w:rPr>
        <w:t>, że prokuratorzy wykonywali swoje obowi</w:t>
      </w:r>
      <w:r>
        <w:rPr>
          <w:rStyle w:val="Bodytext2"/>
          <w:color w:val="000000"/>
        </w:rPr>
        <w:t>ązki przez cały rok 2020 i mimo</w:t>
      </w:r>
      <w:r w:rsidR="00F70B60">
        <w:rPr>
          <w:rStyle w:val="Bodytext2"/>
          <w:color w:val="000000"/>
        </w:rPr>
        <w:t>, że niemalże „zamrożono” pracę sądów przez znaczny czas w 2020 roku,</w:t>
      </w:r>
      <w:r>
        <w:rPr>
          <w:rStyle w:val="Bodytext2"/>
          <w:color w:val="000000"/>
        </w:rPr>
        <w:t xml:space="preserve"> </w:t>
      </w:r>
      <w:r w:rsidR="00F70B60">
        <w:rPr>
          <w:rStyle w:val="Bodytext2"/>
          <w:color w:val="000000"/>
        </w:rPr>
        <w:t>tak się nie stało w przypadku jednostek prokuratur. Zmieniono je</w:t>
      </w:r>
      <w:r w:rsidR="00FB2443">
        <w:rPr>
          <w:rStyle w:val="Bodytext2"/>
          <w:color w:val="000000"/>
        </w:rPr>
        <w:t>dynie system pracy prokuratorów</w:t>
      </w:r>
      <w:r w:rsidR="00F70B60">
        <w:rPr>
          <w:rStyle w:val="Bodytext2"/>
          <w:color w:val="000000"/>
        </w:rPr>
        <w:t>, wprowadzając dwuzm</w:t>
      </w:r>
      <w:r w:rsidR="00FB2443">
        <w:rPr>
          <w:rStyle w:val="Bodytext2"/>
          <w:color w:val="000000"/>
        </w:rPr>
        <w:t>ianowość pracy</w:t>
      </w:r>
      <w:r w:rsidR="00F70B60">
        <w:rPr>
          <w:rStyle w:val="Bodytext2"/>
          <w:color w:val="000000"/>
        </w:rPr>
        <w:t>. Prokuratura Rejonowa w Bolesławcu urzęduje od dłuższego czasu w godzinach od 07.00 do 20.30 w dwóch zmianach.</w:t>
      </w:r>
    </w:p>
    <w:p w:rsidR="00741D82" w:rsidRDefault="00F70B60">
      <w:pPr>
        <w:pStyle w:val="Bodytext20"/>
        <w:shd w:val="clear" w:color="auto" w:fill="auto"/>
        <w:spacing w:after="0" w:line="410" w:lineRule="exact"/>
        <w:ind w:firstLine="760"/>
        <w:jc w:val="both"/>
      </w:pPr>
      <w:r>
        <w:rPr>
          <w:rStyle w:val="Bodytext2"/>
          <w:color w:val="000000"/>
        </w:rPr>
        <w:t>Przedstawione poniżej wyn</w:t>
      </w:r>
      <w:r w:rsidR="00FB2443">
        <w:rPr>
          <w:rStyle w:val="Bodytext2"/>
          <w:color w:val="000000"/>
        </w:rPr>
        <w:t>iki pracy prokuratorów wskazują</w:t>
      </w:r>
      <w:r>
        <w:rPr>
          <w:rStyle w:val="Bodytext2"/>
          <w:color w:val="000000"/>
        </w:rPr>
        <w:t>, że nie odbie</w:t>
      </w:r>
      <w:r w:rsidR="00FB2443">
        <w:rPr>
          <w:rStyle w:val="Bodytext2"/>
          <w:color w:val="000000"/>
        </w:rPr>
        <w:t>gają one od wyników z roku 2019</w:t>
      </w:r>
      <w:r>
        <w:rPr>
          <w:rStyle w:val="Bodytext2"/>
          <w:color w:val="000000"/>
        </w:rPr>
        <w:t>, a więc sprzed pandemii. Wskazują na to przede wszystkim dane dotyczące ilości załatwionych spraw, ilości skierowanych aktów osk</w:t>
      </w:r>
      <w:r w:rsidR="00FB2443">
        <w:rPr>
          <w:rStyle w:val="Bodytext2"/>
          <w:color w:val="000000"/>
        </w:rPr>
        <w:t>arżenia (więcej niż w roku 2019)</w:t>
      </w:r>
      <w:r>
        <w:rPr>
          <w:rStyle w:val="Bodytext2"/>
          <w:color w:val="000000"/>
        </w:rPr>
        <w:t>, ilości zastos</w:t>
      </w:r>
      <w:r w:rsidR="00FB2443">
        <w:rPr>
          <w:rStyle w:val="Bodytext2"/>
          <w:color w:val="000000"/>
        </w:rPr>
        <w:t>owanych środków zapobiegawczych</w:t>
      </w:r>
      <w:r>
        <w:rPr>
          <w:rStyle w:val="Bodytext2"/>
          <w:color w:val="000000"/>
        </w:rPr>
        <w:t>, w tym tymczasowych aresztowań.</w:t>
      </w:r>
    </w:p>
    <w:p w:rsidR="00741D82" w:rsidRDefault="00F70B60">
      <w:pPr>
        <w:pStyle w:val="Bodytext20"/>
        <w:shd w:val="clear" w:color="auto" w:fill="auto"/>
        <w:spacing w:after="0" w:line="410" w:lineRule="exact"/>
        <w:ind w:firstLine="760"/>
        <w:jc w:val="both"/>
      </w:pPr>
      <w:r>
        <w:rPr>
          <w:rStyle w:val="Bodytext2"/>
          <w:color w:val="000000"/>
        </w:rPr>
        <w:t>Zmniejszyła się ilość spraw osą</w:t>
      </w:r>
      <w:r w:rsidR="00FB2443">
        <w:rPr>
          <w:rStyle w:val="Bodytext2"/>
          <w:color w:val="000000"/>
        </w:rPr>
        <w:t>dzonych w sądach z 1074 do 740</w:t>
      </w:r>
      <w:r>
        <w:rPr>
          <w:rStyle w:val="Bodytext2"/>
          <w:color w:val="000000"/>
        </w:rPr>
        <w:t>, co było podyktowane odwołaniem wielu rozpraw i posiedze</w:t>
      </w:r>
      <w:r w:rsidR="00FB2443">
        <w:rPr>
          <w:rStyle w:val="Bodytext2"/>
          <w:color w:val="000000"/>
        </w:rPr>
        <w:t>ń w sądach w związku z pandemią</w:t>
      </w:r>
      <w:r>
        <w:rPr>
          <w:rStyle w:val="Bodytext2"/>
          <w:color w:val="000000"/>
        </w:rPr>
        <w:t>.</w:t>
      </w:r>
    </w:p>
    <w:p w:rsidR="00741D82" w:rsidRDefault="00F70B60">
      <w:pPr>
        <w:pStyle w:val="Bodytext20"/>
        <w:shd w:val="clear" w:color="auto" w:fill="auto"/>
        <w:spacing w:after="0" w:line="410" w:lineRule="exact"/>
        <w:ind w:firstLine="760"/>
        <w:jc w:val="both"/>
        <w:rPr>
          <w:rStyle w:val="Bodytext2"/>
          <w:color w:val="000000"/>
        </w:rPr>
      </w:pPr>
      <w:r>
        <w:rPr>
          <w:rStyle w:val="Bodytext2"/>
          <w:color w:val="000000"/>
        </w:rPr>
        <w:t>Dane dotyczące zastos</w:t>
      </w:r>
      <w:r w:rsidR="00FB2443">
        <w:rPr>
          <w:rStyle w:val="Bodytext2"/>
          <w:color w:val="000000"/>
        </w:rPr>
        <w:t>owanych środków zapobiegawczych</w:t>
      </w:r>
      <w:r>
        <w:rPr>
          <w:rStyle w:val="Bodytext2"/>
          <w:color w:val="000000"/>
        </w:rPr>
        <w:t>, w tym 42 tymczasowe aresztowania i 103 w</w:t>
      </w:r>
      <w:r w:rsidR="00FB2443">
        <w:rPr>
          <w:rStyle w:val="Bodytext2"/>
          <w:color w:val="000000"/>
        </w:rPr>
        <w:t>olnościowe środki zapobiegawcze</w:t>
      </w:r>
      <w:r>
        <w:rPr>
          <w:rStyle w:val="Bodytext2"/>
          <w:color w:val="000000"/>
        </w:rPr>
        <w:t>, wskaz</w:t>
      </w:r>
      <w:r w:rsidR="00FB2443">
        <w:rPr>
          <w:rStyle w:val="Bodytext2"/>
          <w:color w:val="000000"/>
        </w:rPr>
        <w:t>ują, że zarówno Policja</w:t>
      </w:r>
      <w:r>
        <w:rPr>
          <w:rStyle w:val="Bodytext2"/>
          <w:color w:val="000000"/>
        </w:rPr>
        <w:t>, jak i prokuratorzy reagowali na poważne zdarzenia kryminalne i wykonywali czynności niezbędne dla zastosowania tych ś</w:t>
      </w:r>
      <w:r w:rsidR="00FB2443">
        <w:rPr>
          <w:rStyle w:val="Bodytext2"/>
          <w:color w:val="000000"/>
        </w:rPr>
        <w:t>rodków bez względu na pandemię</w:t>
      </w:r>
      <w:r>
        <w:rPr>
          <w:rStyle w:val="Bodytext2"/>
          <w:color w:val="000000"/>
        </w:rPr>
        <w:t>, stosując oczywiście konieczne środki reżimu sanitarnego.</w:t>
      </w:r>
    </w:p>
    <w:p w:rsidR="00B0601C" w:rsidRPr="00B0601C" w:rsidRDefault="00B0601C" w:rsidP="00B0601C">
      <w:pPr>
        <w:spacing w:line="410" w:lineRule="exact"/>
        <w:ind w:firstLine="760"/>
        <w:jc w:val="both"/>
        <w:rPr>
          <w:rFonts w:ascii="Times New Roman" w:hAnsi="Times New Roman" w:cs="Times New Roman"/>
          <w:color w:val="auto"/>
        </w:rPr>
      </w:pPr>
      <w:r w:rsidRPr="00FB2443">
        <w:rPr>
          <w:rFonts w:ascii="Times New Roman" w:hAnsi="Times New Roman" w:cs="Times New Roman"/>
        </w:rPr>
        <w:lastRenderedPageBreak/>
        <w:t>Mimo pandemii niestety nie zmniejszyła się ilość przestępstw popełnionych na t</w:t>
      </w:r>
      <w:r w:rsidR="00FB2443">
        <w:rPr>
          <w:rFonts w:ascii="Times New Roman" w:hAnsi="Times New Roman" w:cs="Times New Roman"/>
        </w:rPr>
        <w:t>erenie powiatu bolesławieckiego</w:t>
      </w:r>
      <w:r w:rsidRPr="00FB2443">
        <w:rPr>
          <w:rFonts w:ascii="Times New Roman" w:hAnsi="Times New Roman" w:cs="Times New Roman"/>
        </w:rPr>
        <w:t>, kształtowała się ona na p</w:t>
      </w:r>
      <w:r w:rsidR="00FB2443">
        <w:rPr>
          <w:rFonts w:ascii="Times New Roman" w:hAnsi="Times New Roman" w:cs="Times New Roman"/>
        </w:rPr>
        <w:t>odobnym poziomie co w roku 2019</w:t>
      </w:r>
      <w:r w:rsidRPr="00FB2443">
        <w:rPr>
          <w:rFonts w:ascii="Times New Roman" w:hAnsi="Times New Roman" w:cs="Times New Roman"/>
        </w:rPr>
        <w:t>.</w:t>
      </w:r>
    </w:p>
    <w:p w:rsidR="00B0601C" w:rsidRPr="00B0601C" w:rsidRDefault="00B0601C" w:rsidP="00B0601C">
      <w:pPr>
        <w:spacing w:line="410" w:lineRule="exact"/>
        <w:ind w:firstLine="680"/>
        <w:rPr>
          <w:rFonts w:ascii="Times New Roman" w:hAnsi="Times New Roman" w:cs="Times New Roman"/>
          <w:color w:val="auto"/>
        </w:rPr>
      </w:pPr>
      <w:r w:rsidRPr="00FB2443">
        <w:rPr>
          <w:rFonts w:ascii="Times New Roman" w:hAnsi="Times New Roman" w:cs="Times New Roman"/>
        </w:rPr>
        <w:t>W roku 2020 łącznie wpłynęło do Prokuratury Rejonowej w Bolesławcu 2 804 spra</w:t>
      </w:r>
      <w:r w:rsidR="00FB2443">
        <w:rPr>
          <w:rFonts w:ascii="Times New Roman" w:hAnsi="Times New Roman" w:cs="Times New Roman"/>
        </w:rPr>
        <w:t>w i jest to nieznaczny spadek w porówn</w:t>
      </w:r>
      <w:r w:rsidRPr="00FB2443">
        <w:rPr>
          <w:rFonts w:ascii="Times New Roman" w:hAnsi="Times New Roman" w:cs="Times New Roman"/>
        </w:rPr>
        <w:t>aniu do roku 2019 o 97 spraw.</w:t>
      </w:r>
    </w:p>
    <w:p w:rsidR="00B0601C" w:rsidRPr="00B0601C" w:rsidRDefault="00B0601C" w:rsidP="00B0601C">
      <w:pPr>
        <w:spacing w:line="410" w:lineRule="exact"/>
        <w:jc w:val="both"/>
        <w:rPr>
          <w:rFonts w:ascii="Times New Roman" w:hAnsi="Times New Roman" w:cs="Times New Roman"/>
          <w:color w:val="auto"/>
        </w:rPr>
      </w:pPr>
      <w:r w:rsidRPr="00FB2443">
        <w:rPr>
          <w:rFonts w:ascii="Times New Roman" w:hAnsi="Times New Roman" w:cs="Times New Roman"/>
        </w:rPr>
        <w:t xml:space="preserve">Załatwiono łącznie 2 766 sprawy i kształtuje się on na </w:t>
      </w:r>
      <w:r w:rsidR="00FB2443">
        <w:rPr>
          <w:rFonts w:ascii="Times New Roman" w:hAnsi="Times New Roman" w:cs="Times New Roman"/>
        </w:rPr>
        <w:t>poziomie zbliżonym do roku 2019</w:t>
      </w:r>
      <w:r w:rsidRPr="00FB2443">
        <w:rPr>
          <w:rFonts w:ascii="Times New Roman" w:hAnsi="Times New Roman" w:cs="Times New Roman"/>
        </w:rPr>
        <w:t>, w którym załatwiono s</w:t>
      </w:r>
      <w:r w:rsidR="00FB2443">
        <w:rPr>
          <w:rFonts w:ascii="Times New Roman" w:hAnsi="Times New Roman" w:cs="Times New Roman"/>
        </w:rPr>
        <w:t>praw 2 902</w:t>
      </w:r>
      <w:r w:rsidRPr="00FB2443">
        <w:rPr>
          <w:rFonts w:ascii="Times New Roman" w:hAnsi="Times New Roman" w:cs="Times New Roman"/>
        </w:rPr>
        <w:t>.</w:t>
      </w:r>
    </w:p>
    <w:p w:rsidR="00B0601C" w:rsidRPr="00B0601C" w:rsidRDefault="00B0601C" w:rsidP="00B0601C">
      <w:pPr>
        <w:spacing w:line="410" w:lineRule="exact"/>
        <w:jc w:val="both"/>
        <w:rPr>
          <w:rFonts w:ascii="Times New Roman" w:hAnsi="Times New Roman" w:cs="Times New Roman"/>
          <w:color w:val="auto"/>
        </w:rPr>
      </w:pPr>
      <w:r w:rsidRPr="00FB2443">
        <w:rPr>
          <w:rFonts w:ascii="Times New Roman" w:hAnsi="Times New Roman" w:cs="Times New Roman"/>
        </w:rPr>
        <w:t>Wszczęto 1.87</w:t>
      </w:r>
      <w:r w:rsidR="00FB2443">
        <w:rPr>
          <w:rFonts w:ascii="Times New Roman" w:hAnsi="Times New Roman" w:cs="Times New Roman"/>
        </w:rPr>
        <w:t>0 postępowań, w tym 239 śledztw</w:t>
      </w:r>
      <w:r w:rsidRPr="00FB2443">
        <w:rPr>
          <w:rFonts w:ascii="Times New Roman" w:hAnsi="Times New Roman" w:cs="Times New Roman"/>
        </w:rPr>
        <w:t>.</w:t>
      </w:r>
    </w:p>
    <w:p w:rsidR="00B0601C" w:rsidRPr="00B0601C" w:rsidRDefault="00B0601C" w:rsidP="00B0601C">
      <w:pPr>
        <w:spacing w:line="410" w:lineRule="exact"/>
        <w:jc w:val="both"/>
        <w:rPr>
          <w:rFonts w:ascii="Times New Roman" w:hAnsi="Times New Roman" w:cs="Times New Roman"/>
          <w:color w:val="auto"/>
        </w:rPr>
      </w:pPr>
      <w:r w:rsidRPr="00FB2443">
        <w:rPr>
          <w:rFonts w:ascii="Times New Roman" w:hAnsi="Times New Roman" w:cs="Times New Roman"/>
        </w:rPr>
        <w:t>W roku 2020 odmówiono wszczęcia postępowania przygotowawczego w 552 sprawach. Natomiast umor</w:t>
      </w:r>
      <w:r w:rsidR="00FB2443">
        <w:rPr>
          <w:rFonts w:ascii="Times New Roman" w:hAnsi="Times New Roman" w:cs="Times New Roman"/>
        </w:rPr>
        <w:t>zono łącznie 1013 postępowań, w tym w</w:t>
      </w:r>
      <w:r w:rsidRPr="00FB2443">
        <w:rPr>
          <w:rFonts w:ascii="Times New Roman" w:hAnsi="Times New Roman" w:cs="Times New Roman"/>
        </w:rPr>
        <w:t xml:space="preserve"> 248 przypadkach </w:t>
      </w:r>
      <w:proofErr w:type="spellStart"/>
      <w:r w:rsidR="00FB2443">
        <w:rPr>
          <w:rFonts w:ascii="Times New Roman" w:hAnsi="Times New Roman" w:cs="Times New Roman"/>
          <w:lang w:val="en-US" w:eastAsia="en-US"/>
        </w:rPr>
        <w:t>w</w:t>
      </w:r>
      <w:r w:rsidRPr="00FB2443">
        <w:rPr>
          <w:rFonts w:ascii="Times New Roman" w:hAnsi="Times New Roman" w:cs="Times New Roman"/>
          <w:lang w:val="en-US" w:eastAsia="en-US"/>
        </w:rPr>
        <w:t>obec</w:t>
      </w:r>
      <w:proofErr w:type="spellEnd"/>
      <w:r w:rsidRPr="00FB2443">
        <w:rPr>
          <w:rFonts w:ascii="Times New Roman" w:hAnsi="Times New Roman" w:cs="Times New Roman"/>
          <w:lang w:val="en-US" w:eastAsia="en-US"/>
        </w:rPr>
        <w:t xml:space="preserve"> </w:t>
      </w:r>
      <w:r w:rsidRPr="00FB2443">
        <w:rPr>
          <w:rFonts w:ascii="Times New Roman" w:hAnsi="Times New Roman" w:cs="Times New Roman"/>
        </w:rPr>
        <w:t>niewykrycia sprawcy czynu.</w:t>
      </w:r>
    </w:p>
    <w:p w:rsidR="00B0601C" w:rsidRPr="00B0601C" w:rsidRDefault="00FB2443" w:rsidP="00B0601C">
      <w:pPr>
        <w:spacing w:line="410" w:lineRule="exact"/>
        <w:ind w:firstLine="76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Ogółem w</w:t>
      </w:r>
      <w:r w:rsidR="00B0601C" w:rsidRPr="00FB2443">
        <w:rPr>
          <w:rFonts w:ascii="Times New Roman" w:hAnsi="Times New Roman" w:cs="Times New Roman"/>
        </w:rPr>
        <w:t xml:space="preserve"> roku 2020 wniesiono do sądów rejonowych i okręgowych 924 aktów oskarżenia w</w:t>
      </w:r>
      <w:r>
        <w:rPr>
          <w:rFonts w:ascii="Times New Roman" w:hAnsi="Times New Roman" w:cs="Times New Roman"/>
        </w:rPr>
        <w:t>obec 1045 osób. To więcej niż w roku 2019</w:t>
      </w:r>
      <w:r w:rsidR="00B0601C" w:rsidRPr="00FB2443">
        <w:rPr>
          <w:rFonts w:ascii="Times New Roman" w:hAnsi="Times New Roman" w:cs="Times New Roman"/>
        </w:rPr>
        <w:t>, kiedy to skierowano 903 akty oskarżenia wobec 1028 osób. Skierowano także do sądów 30 wniosków o w</w:t>
      </w:r>
      <w:r>
        <w:rPr>
          <w:rFonts w:ascii="Times New Roman" w:hAnsi="Times New Roman" w:cs="Times New Roman"/>
        </w:rPr>
        <w:t>arunkowe umorzenie postępowania</w:t>
      </w:r>
      <w:r w:rsidR="00B0601C" w:rsidRPr="00FB2443">
        <w:rPr>
          <w:rFonts w:ascii="Times New Roman" w:hAnsi="Times New Roman" w:cs="Times New Roman"/>
        </w:rPr>
        <w:t>, a w 11 przypadkach skierowano wnioski o zastosowanie środków zabezpieczających.</w:t>
      </w:r>
    </w:p>
    <w:p w:rsidR="00B0601C" w:rsidRPr="00B0601C" w:rsidRDefault="00B0601C" w:rsidP="00B0601C">
      <w:pPr>
        <w:spacing w:line="410" w:lineRule="exact"/>
        <w:ind w:firstLine="760"/>
        <w:jc w:val="both"/>
        <w:rPr>
          <w:rFonts w:ascii="Times New Roman" w:hAnsi="Times New Roman" w:cs="Times New Roman"/>
          <w:color w:val="auto"/>
        </w:rPr>
      </w:pPr>
      <w:r w:rsidRPr="00FB2443">
        <w:rPr>
          <w:rFonts w:ascii="Times New Roman" w:hAnsi="Times New Roman" w:cs="Times New Roman"/>
        </w:rPr>
        <w:t>W roku 2020 osądzono w sądach 740 spraw, w tym w sądzie okręgowym 12 spraw. Zapadły wyroki uniewinniające łącznie wobec 2 osób Prokuratorzy uczestniczyli także w rozprawach przed Sądem w II instancji w 78 sprawach.</w:t>
      </w:r>
    </w:p>
    <w:p w:rsidR="00B0601C" w:rsidRPr="00B0601C" w:rsidRDefault="00B0601C" w:rsidP="00B0601C">
      <w:pPr>
        <w:spacing w:line="410" w:lineRule="exact"/>
        <w:ind w:firstLine="760"/>
        <w:jc w:val="both"/>
        <w:rPr>
          <w:rFonts w:ascii="Times New Roman" w:hAnsi="Times New Roman" w:cs="Times New Roman"/>
          <w:color w:val="auto"/>
        </w:rPr>
      </w:pPr>
      <w:r w:rsidRPr="00FB2443">
        <w:rPr>
          <w:rFonts w:ascii="Times New Roman" w:hAnsi="Times New Roman" w:cs="Times New Roman"/>
        </w:rPr>
        <w:t>W roku 2020</w:t>
      </w:r>
      <w:r w:rsidR="00FB2443">
        <w:rPr>
          <w:rFonts w:ascii="Times New Roman" w:hAnsi="Times New Roman" w:cs="Times New Roman"/>
        </w:rPr>
        <w:t xml:space="preserve"> prokuratorzy wnieśli do sądu wn</w:t>
      </w:r>
      <w:r w:rsidRPr="00FB2443">
        <w:rPr>
          <w:rFonts w:ascii="Times New Roman" w:hAnsi="Times New Roman" w:cs="Times New Roman"/>
        </w:rPr>
        <w:t>ioski o zastosowanie tymczaso</w:t>
      </w:r>
      <w:r w:rsidR="00FB2443">
        <w:rPr>
          <w:rFonts w:ascii="Times New Roman" w:hAnsi="Times New Roman" w:cs="Times New Roman"/>
        </w:rPr>
        <w:t>wego aresztowania wobec 42 osób</w:t>
      </w:r>
      <w:r w:rsidRPr="00FB2443">
        <w:rPr>
          <w:rFonts w:ascii="Times New Roman" w:hAnsi="Times New Roman" w:cs="Times New Roman"/>
        </w:rPr>
        <w:t>.</w:t>
      </w:r>
    </w:p>
    <w:p w:rsidR="00B0601C" w:rsidRPr="00B0601C" w:rsidRDefault="00B0601C" w:rsidP="00B0601C">
      <w:pPr>
        <w:spacing w:line="410" w:lineRule="exact"/>
        <w:jc w:val="both"/>
        <w:rPr>
          <w:rFonts w:ascii="Times New Roman" w:hAnsi="Times New Roman" w:cs="Times New Roman"/>
          <w:color w:val="auto"/>
        </w:rPr>
      </w:pPr>
      <w:r w:rsidRPr="00FB2443">
        <w:rPr>
          <w:rFonts w:ascii="Times New Roman" w:hAnsi="Times New Roman" w:cs="Times New Roman"/>
        </w:rPr>
        <w:t>Prokuratorzy zastosowali także 103 innych środków zapobiega</w:t>
      </w:r>
      <w:r w:rsidR="00FB2443">
        <w:rPr>
          <w:rFonts w:ascii="Times New Roman" w:hAnsi="Times New Roman" w:cs="Times New Roman"/>
        </w:rPr>
        <w:t>wczych, w tym wydano 19 nakazów</w:t>
      </w:r>
      <w:r w:rsidRPr="00FB2443">
        <w:rPr>
          <w:rFonts w:ascii="Times New Roman" w:hAnsi="Times New Roman" w:cs="Times New Roman"/>
        </w:rPr>
        <w:t xml:space="preserve"> opuszczenia lokalu mieszkalnego zajmowanego wspól</w:t>
      </w:r>
      <w:r w:rsidR="00FB2443">
        <w:rPr>
          <w:rFonts w:ascii="Times New Roman" w:hAnsi="Times New Roman" w:cs="Times New Roman"/>
        </w:rPr>
        <w:t>nie z pokrzywdzonymi, głównie w</w:t>
      </w:r>
      <w:r w:rsidRPr="00FB2443">
        <w:rPr>
          <w:rFonts w:ascii="Times New Roman" w:hAnsi="Times New Roman" w:cs="Times New Roman"/>
        </w:rPr>
        <w:t xml:space="preserve"> sprawach o przestępstwa znęcania się nad osobami najbliższymi.</w:t>
      </w:r>
    </w:p>
    <w:p w:rsidR="00B0601C" w:rsidRPr="00B0601C" w:rsidRDefault="00B0601C" w:rsidP="00B0601C">
      <w:pPr>
        <w:spacing w:line="410" w:lineRule="exact"/>
        <w:ind w:firstLine="760"/>
        <w:jc w:val="both"/>
        <w:rPr>
          <w:rFonts w:ascii="Times New Roman" w:hAnsi="Times New Roman" w:cs="Times New Roman"/>
          <w:color w:val="auto"/>
        </w:rPr>
      </w:pPr>
      <w:r w:rsidRPr="00FB2443">
        <w:rPr>
          <w:rFonts w:ascii="Times New Roman" w:hAnsi="Times New Roman" w:cs="Times New Roman"/>
        </w:rPr>
        <w:t>Wydano postanowienia o zabezpieczeniach majątkowych wobec 175 osób. Wartość zab</w:t>
      </w:r>
      <w:r w:rsidR="00FB2443">
        <w:rPr>
          <w:rFonts w:ascii="Times New Roman" w:hAnsi="Times New Roman" w:cs="Times New Roman"/>
        </w:rPr>
        <w:t>ezpieczonego mienia od sprawców</w:t>
      </w:r>
      <w:r w:rsidRPr="00FB2443">
        <w:rPr>
          <w:rFonts w:ascii="Times New Roman" w:hAnsi="Times New Roman" w:cs="Times New Roman"/>
        </w:rPr>
        <w:t xml:space="preserve"> przestępstw na etapie postępowania przygotowawczego wyniosła w 2020 r. kwotę 720 093 zł.</w:t>
      </w:r>
    </w:p>
    <w:p w:rsidR="00B0601C" w:rsidRPr="00B0601C" w:rsidRDefault="00B0601C" w:rsidP="00B0601C">
      <w:pPr>
        <w:spacing w:line="410" w:lineRule="exact"/>
        <w:ind w:firstLine="760"/>
        <w:jc w:val="both"/>
        <w:rPr>
          <w:rFonts w:ascii="Times New Roman" w:hAnsi="Times New Roman" w:cs="Times New Roman"/>
          <w:color w:val="auto"/>
        </w:rPr>
      </w:pPr>
      <w:r w:rsidRPr="00FB2443">
        <w:rPr>
          <w:rFonts w:ascii="Times New Roman" w:hAnsi="Times New Roman" w:cs="Times New Roman"/>
        </w:rPr>
        <w:t xml:space="preserve">Prokuratorzy osobiście uczestniczyli w oględzinach miejsca zdarzenia, szczególnie w zdarzeniach ze skutkiem śmiertelnym i we wszystkich </w:t>
      </w:r>
      <w:proofErr w:type="spellStart"/>
      <w:r w:rsidRPr="00FB2443">
        <w:rPr>
          <w:rFonts w:ascii="Times New Roman" w:hAnsi="Times New Roman" w:cs="Times New Roman"/>
        </w:rPr>
        <w:t>sądown</w:t>
      </w:r>
      <w:r w:rsidR="00FB2443">
        <w:rPr>
          <w:rFonts w:ascii="Times New Roman" w:hAnsi="Times New Roman" w:cs="Times New Roman"/>
        </w:rPr>
        <w:t>o</w:t>
      </w:r>
      <w:proofErr w:type="spellEnd"/>
      <w:r w:rsidRPr="00FB2443">
        <w:rPr>
          <w:rFonts w:ascii="Times New Roman" w:hAnsi="Times New Roman" w:cs="Times New Roman"/>
        </w:rPr>
        <w:t xml:space="preserve"> - lekarskich oględzinach i otwarciu zwłok.</w:t>
      </w:r>
    </w:p>
    <w:p w:rsidR="00B0601C" w:rsidRPr="00B0601C" w:rsidRDefault="00B0601C" w:rsidP="00FB2443">
      <w:pPr>
        <w:spacing w:line="410" w:lineRule="exact"/>
        <w:ind w:firstLine="760"/>
        <w:jc w:val="both"/>
        <w:rPr>
          <w:rFonts w:ascii="Times New Roman" w:hAnsi="Times New Roman" w:cs="Times New Roman"/>
          <w:color w:val="auto"/>
        </w:rPr>
      </w:pPr>
      <w:r w:rsidRPr="00FB2443">
        <w:rPr>
          <w:rFonts w:ascii="Times New Roman" w:hAnsi="Times New Roman" w:cs="Times New Roman"/>
        </w:rPr>
        <w:t>Dla zobrazowania rozmiaru przestępczości w poszczególny</w:t>
      </w:r>
      <w:r w:rsidR="00FB2443">
        <w:rPr>
          <w:rFonts w:ascii="Times New Roman" w:hAnsi="Times New Roman" w:cs="Times New Roman"/>
        </w:rPr>
        <w:t>ch wybranych kategoriach czynów</w:t>
      </w:r>
      <w:r w:rsidRPr="00FB2443">
        <w:rPr>
          <w:rFonts w:ascii="Times New Roman" w:hAnsi="Times New Roman" w:cs="Times New Roman"/>
        </w:rPr>
        <w:t xml:space="preserve"> przykładowo można wskazać, że w 2020 roku na terenie powiatu bolesławieckiego wydarzyło się łącznie 68 wypadków samochodowych, przy czym w 15 przypadkach skutkiem </w:t>
      </w:r>
      <w:r w:rsidRPr="00FB2443">
        <w:rPr>
          <w:rFonts w:ascii="Times New Roman" w:hAnsi="Times New Roman" w:cs="Times New Roman"/>
        </w:rPr>
        <w:lastRenderedPageBreak/>
        <w:t>była śmierć lub ciężki uszczerbek na zdrowiu pokrzywdzonych. Dla porówn</w:t>
      </w:r>
      <w:r w:rsidR="00FB2443">
        <w:rPr>
          <w:rFonts w:ascii="Times New Roman" w:hAnsi="Times New Roman" w:cs="Times New Roman"/>
        </w:rPr>
        <w:t>ania w roku 2019 wypadków</w:t>
      </w:r>
      <w:r w:rsidRPr="00FB2443">
        <w:rPr>
          <w:rFonts w:ascii="Times New Roman" w:hAnsi="Times New Roman" w:cs="Times New Roman"/>
        </w:rPr>
        <w:t xml:space="preserve"> komunikacyjnych było ogółem 55, tak więc w roku 2020 nastąpił </w:t>
      </w:r>
      <w:proofErr w:type="spellStart"/>
      <w:r w:rsidR="00FB2443">
        <w:rPr>
          <w:rFonts w:ascii="Times New Roman" w:hAnsi="Times New Roman" w:cs="Times New Roman"/>
          <w:lang w:val="en-US" w:eastAsia="en-US"/>
        </w:rPr>
        <w:t>w</w:t>
      </w:r>
      <w:r w:rsidRPr="00FB2443">
        <w:rPr>
          <w:rFonts w:ascii="Times New Roman" w:hAnsi="Times New Roman" w:cs="Times New Roman"/>
          <w:lang w:val="en-US" w:eastAsia="en-US"/>
        </w:rPr>
        <w:t>zrost</w:t>
      </w:r>
      <w:proofErr w:type="spellEnd"/>
      <w:r w:rsidRPr="00FB2443">
        <w:rPr>
          <w:rFonts w:ascii="Times New Roman" w:hAnsi="Times New Roman" w:cs="Times New Roman"/>
          <w:lang w:val="en-US" w:eastAsia="en-US"/>
        </w:rPr>
        <w:t xml:space="preserve"> </w:t>
      </w:r>
      <w:r w:rsidRPr="00FB2443">
        <w:rPr>
          <w:rFonts w:ascii="Times New Roman" w:hAnsi="Times New Roman" w:cs="Times New Roman"/>
        </w:rPr>
        <w:t>tego</w:t>
      </w:r>
      <w:r w:rsidR="00FB2443">
        <w:rPr>
          <w:rFonts w:ascii="Times New Roman" w:hAnsi="Times New Roman" w:cs="Times New Roman"/>
          <w:color w:val="auto"/>
        </w:rPr>
        <w:t xml:space="preserve"> </w:t>
      </w:r>
      <w:r w:rsidRPr="00FB2443">
        <w:rPr>
          <w:rFonts w:ascii="Times New Roman" w:hAnsi="Times New Roman" w:cs="Times New Roman"/>
        </w:rPr>
        <w:t>rodzaju spraw, a na tym samym poziomie pozostaje ilość wypadków z ciężkim lub śmiertelnym skutkiem.</w:t>
      </w:r>
    </w:p>
    <w:p w:rsidR="00B0601C" w:rsidRPr="00B0601C" w:rsidRDefault="00B0601C" w:rsidP="00B0601C">
      <w:pPr>
        <w:spacing w:line="410" w:lineRule="exact"/>
        <w:ind w:firstLine="800"/>
        <w:jc w:val="both"/>
        <w:rPr>
          <w:rFonts w:ascii="Times New Roman" w:hAnsi="Times New Roman" w:cs="Times New Roman"/>
          <w:color w:val="auto"/>
        </w:rPr>
      </w:pPr>
      <w:r w:rsidRPr="00FB2443">
        <w:rPr>
          <w:rFonts w:ascii="Times New Roman" w:hAnsi="Times New Roman" w:cs="Times New Roman"/>
        </w:rPr>
        <w:t>Wzrosła ilość spraw dotyczących nietrzeźwych kierujących pojazdam</w:t>
      </w:r>
      <w:r w:rsidR="00FB2443">
        <w:rPr>
          <w:rFonts w:ascii="Times New Roman" w:hAnsi="Times New Roman" w:cs="Times New Roman"/>
        </w:rPr>
        <w:t>i mechanicznymi w ruchu lądowym</w:t>
      </w:r>
      <w:r w:rsidRPr="00FB2443">
        <w:rPr>
          <w:rFonts w:ascii="Times New Roman" w:hAnsi="Times New Roman" w:cs="Times New Roman"/>
        </w:rPr>
        <w:t>,</w:t>
      </w:r>
      <w:r w:rsidR="00FB2443">
        <w:rPr>
          <w:rFonts w:ascii="Times New Roman" w:hAnsi="Times New Roman" w:cs="Times New Roman"/>
        </w:rPr>
        <w:t xml:space="preserve"> </w:t>
      </w:r>
      <w:r w:rsidRPr="00FB2443">
        <w:rPr>
          <w:rFonts w:ascii="Times New Roman" w:hAnsi="Times New Roman" w:cs="Times New Roman"/>
        </w:rPr>
        <w:t>bowi</w:t>
      </w:r>
      <w:r w:rsidR="00FB2443">
        <w:rPr>
          <w:rFonts w:ascii="Times New Roman" w:hAnsi="Times New Roman" w:cs="Times New Roman"/>
        </w:rPr>
        <w:t>em w roku 2020 zarejestrowano w Prokuraturze 198 spraw</w:t>
      </w:r>
      <w:r w:rsidRPr="00FB2443">
        <w:rPr>
          <w:rFonts w:ascii="Times New Roman" w:hAnsi="Times New Roman" w:cs="Times New Roman"/>
        </w:rPr>
        <w:t>,</w:t>
      </w:r>
      <w:r w:rsidR="00FB2443">
        <w:rPr>
          <w:rFonts w:ascii="Times New Roman" w:hAnsi="Times New Roman" w:cs="Times New Roman"/>
        </w:rPr>
        <w:t xml:space="preserve"> </w:t>
      </w:r>
      <w:r w:rsidRPr="00FB2443">
        <w:rPr>
          <w:rFonts w:ascii="Times New Roman" w:hAnsi="Times New Roman" w:cs="Times New Roman"/>
        </w:rPr>
        <w:t>a poprzednio w roku 2019 odnotowano 188 takich spraw.</w:t>
      </w:r>
    </w:p>
    <w:p w:rsidR="00B0601C" w:rsidRPr="00B0601C" w:rsidRDefault="00B0601C" w:rsidP="00B0601C">
      <w:pPr>
        <w:spacing w:line="410" w:lineRule="exact"/>
        <w:ind w:firstLine="800"/>
        <w:jc w:val="both"/>
        <w:rPr>
          <w:rFonts w:ascii="Times New Roman" w:hAnsi="Times New Roman" w:cs="Times New Roman"/>
          <w:color w:val="auto"/>
        </w:rPr>
      </w:pPr>
      <w:r w:rsidRPr="00FB2443">
        <w:rPr>
          <w:rFonts w:ascii="Times New Roman" w:hAnsi="Times New Roman" w:cs="Times New Roman"/>
        </w:rPr>
        <w:t>Zgłoszono łącznie 10 napadów rabunkowych, w tym w 3 przypadkach była to napaść z użyciem niebezpiecznego narzędzia.</w:t>
      </w:r>
    </w:p>
    <w:p w:rsidR="00B0601C" w:rsidRPr="00B0601C" w:rsidRDefault="00B0601C" w:rsidP="00B0601C">
      <w:pPr>
        <w:spacing w:line="410" w:lineRule="exact"/>
        <w:ind w:firstLine="800"/>
        <w:jc w:val="both"/>
        <w:rPr>
          <w:rFonts w:ascii="Times New Roman" w:hAnsi="Times New Roman" w:cs="Times New Roman"/>
          <w:color w:val="auto"/>
        </w:rPr>
      </w:pPr>
      <w:r w:rsidRPr="00FB2443">
        <w:rPr>
          <w:rFonts w:ascii="Times New Roman" w:hAnsi="Times New Roman" w:cs="Times New Roman"/>
        </w:rPr>
        <w:t>Prokuratura Rejonowa w Bolesławcu prowadziła lub nadzorowała 177 spraw dotyczących kradzieży z włamaniem i 254 spraw dotyczących kradzieży zwykłych. Nastąpił zatem wzrost kradzieży z włamaniem o 35 spraw i kradzieży zwykłych o 30 spraw w stosunku do roku 2019.</w:t>
      </w:r>
    </w:p>
    <w:p w:rsidR="00B0601C" w:rsidRPr="00B0601C" w:rsidRDefault="00B0601C" w:rsidP="00B0601C">
      <w:pPr>
        <w:spacing w:line="410" w:lineRule="exact"/>
        <w:ind w:firstLine="800"/>
        <w:jc w:val="both"/>
        <w:rPr>
          <w:rFonts w:ascii="Times New Roman" w:hAnsi="Times New Roman" w:cs="Times New Roman"/>
          <w:color w:val="auto"/>
        </w:rPr>
      </w:pPr>
      <w:r w:rsidRPr="00FB2443">
        <w:rPr>
          <w:rFonts w:ascii="Times New Roman" w:hAnsi="Times New Roman" w:cs="Times New Roman"/>
        </w:rPr>
        <w:t>W miejscach rozmieszczenia kamer monitorujących miasto nie odnotowano poważnych zdarzeń kryminalnych. Ponadto w toku prowadzonych postępowań wielokrotnie Prokuratura i Policja zwracają się o udostępnienie zapisu monitoringu miejskiego ale też innych podmiotów i dowody z tych zapisów w sposób istotny przyczyniają się do ustalenia okoliczności zdarzeń oraz do ustalenia sprawców czynów.</w:t>
      </w:r>
    </w:p>
    <w:p w:rsidR="00B0601C" w:rsidRPr="00B0601C" w:rsidRDefault="00B0601C" w:rsidP="00B0601C">
      <w:pPr>
        <w:spacing w:line="410" w:lineRule="exact"/>
        <w:ind w:firstLine="800"/>
        <w:jc w:val="both"/>
        <w:rPr>
          <w:rFonts w:ascii="Times New Roman" w:hAnsi="Times New Roman" w:cs="Times New Roman"/>
          <w:color w:val="auto"/>
        </w:rPr>
      </w:pPr>
      <w:r w:rsidRPr="00FB2443">
        <w:rPr>
          <w:rFonts w:ascii="Times New Roman" w:hAnsi="Times New Roman" w:cs="Times New Roman"/>
        </w:rPr>
        <w:t xml:space="preserve">Zwiększeniu uległa ilość różnego rodzaju oszustw, w tym tzw. oszustw internetowych i oszustw kredytowych. Łącznie odnotowano w 2020 roku 352 spraw o czyny z </w:t>
      </w:r>
      <w:r w:rsidRPr="00FB2443">
        <w:rPr>
          <w:rFonts w:ascii="Times New Roman" w:hAnsi="Times New Roman" w:cs="Times New Roman"/>
          <w:lang w:val="en-US" w:eastAsia="en-US"/>
        </w:rPr>
        <w:t xml:space="preserve">art. </w:t>
      </w:r>
      <w:r w:rsidRPr="00FB2443">
        <w:rPr>
          <w:rFonts w:ascii="Times New Roman" w:hAnsi="Times New Roman" w:cs="Times New Roman"/>
        </w:rPr>
        <w:t>286 § 1 kk, a zatem więcej o 72 sprawy w porównaniu do roku 2019.</w:t>
      </w:r>
    </w:p>
    <w:p w:rsidR="00B0601C" w:rsidRPr="00B0601C" w:rsidRDefault="00B0601C" w:rsidP="00B0601C">
      <w:pPr>
        <w:spacing w:line="410" w:lineRule="exact"/>
        <w:ind w:firstLine="800"/>
        <w:jc w:val="both"/>
        <w:rPr>
          <w:rFonts w:ascii="Times New Roman" w:hAnsi="Times New Roman" w:cs="Times New Roman"/>
          <w:color w:val="auto"/>
        </w:rPr>
      </w:pPr>
      <w:r w:rsidRPr="00FB2443">
        <w:rPr>
          <w:rFonts w:ascii="Times New Roman" w:hAnsi="Times New Roman" w:cs="Times New Roman"/>
        </w:rPr>
        <w:t>Niestety zwiększyła się także ilość spraw o przestępstwa z użyciem przemocy fizycznej lub psychicznej wobec członków rodziny. W ubiegłym roku wszczęto 197 spraw</w:t>
      </w:r>
      <w:r w:rsidR="00FB2443">
        <w:rPr>
          <w:rFonts w:ascii="Times New Roman" w:hAnsi="Times New Roman" w:cs="Times New Roman"/>
        </w:rPr>
        <w:t xml:space="preserve"> i jest to więcej o 74 sprawy w</w:t>
      </w:r>
      <w:r w:rsidRPr="00FB2443">
        <w:rPr>
          <w:rFonts w:ascii="Times New Roman" w:hAnsi="Times New Roman" w:cs="Times New Roman"/>
        </w:rPr>
        <w:t xml:space="preserve"> stosunku do roku 2019, kiedy</w:t>
      </w:r>
      <w:r w:rsidR="00FB2443">
        <w:rPr>
          <w:rFonts w:ascii="Times New Roman" w:hAnsi="Times New Roman" w:cs="Times New Roman"/>
        </w:rPr>
        <w:t xml:space="preserve"> to odnotowano takich spraw 123</w:t>
      </w:r>
      <w:r w:rsidRPr="00FB2443">
        <w:rPr>
          <w:rFonts w:ascii="Times New Roman" w:hAnsi="Times New Roman" w:cs="Times New Roman"/>
        </w:rPr>
        <w:t>.</w:t>
      </w:r>
    </w:p>
    <w:p w:rsidR="00B0601C" w:rsidRPr="00B0601C" w:rsidRDefault="00B0601C" w:rsidP="00B0601C">
      <w:pPr>
        <w:spacing w:line="410" w:lineRule="exact"/>
        <w:ind w:firstLine="800"/>
        <w:jc w:val="both"/>
        <w:rPr>
          <w:rFonts w:ascii="Times New Roman" w:hAnsi="Times New Roman" w:cs="Times New Roman"/>
          <w:color w:val="auto"/>
        </w:rPr>
      </w:pPr>
      <w:r w:rsidRPr="00FB2443">
        <w:rPr>
          <w:rFonts w:ascii="Times New Roman" w:hAnsi="Times New Roman" w:cs="Times New Roman"/>
        </w:rPr>
        <w:t>Zm</w:t>
      </w:r>
      <w:r w:rsidR="00FB2443">
        <w:rPr>
          <w:rFonts w:ascii="Times New Roman" w:hAnsi="Times New Roman" w:cs="Times New Roman"/>
        </w:rPr>
        <w:t>niejszyła się także ilość spraw</w:t>
      </w:r>
      <w:r w:rsidRPr="00FB2443">
        <w:rPr>
          <w:rFonts w:ascii="Times New Roman" w:hAnsi="Times New Roman" w:cs="Times New Roman"/>
        </w:rPr>
        <w:t xml:space="preserve"> dotyczących uchylania się od płacenia alimentów przez rodziców wobec dzieci, bowiem w roku 2020 odnotowano takich spraw 352, natomiast w r</w:t>
      </w:r>
      <w:r w:rsidR="00BC6A0F">
        <w:rPr>
          <w:rFonts w:ascii="Times New Roman" w:hAnsi="Times New Roman" w:cs="Times New Roman"/>
        </w:rPr>
        <w:t>oku 2019 liczba ta wyniosła 428</w:t>
      </w:r>
      <w:r w:rsidRPr="00FB2443">
        <w:rPr>
          <w:rFonts w:ascii="Times New Roman" w:hAnsi="Times New Roman" w:cs="Times New Roman"/>
        </w:rPr>
        <w:t>.</w:t>
      </w:r>
    </w:p>
    <w:p w:rsidR="00B0601C" w:rsidRPr="00FB2443" w:rsidRDefault="00B0601C" w:rsidP="00B0601C">
      <w:pPr>
        <w:spacing w:line="410" w:lineRule="exact"/>
        <w:ind w:firstLine="920"/>
        <w:jc w:val="both"/>
        <w:rPr>
          <w:rFonts w:ascii="Times New Roman" w:hAnsi="Times New Roman" w:cs="Times New Roman"/>
        </w:rPr>
      </w:pPr>
      <w:r w:rsidRPr="00FB2443">
        <w:rPr>
          <w:rFonts w:ascii="Times New Roman" w:hAnsi="Times New Roman" w:cs="Times New Roman"/>
        </w:rPr>
        <w:t>Sądy na wniosek prokuratora orzekały obo</w:t>
      </w:r>
      <w:r w:rsidR="00BC6A0F">
        <w:rPr>
          <w:rFonts w:ascii="Times New Roman" w:hAnsi="Times New Roman" w:cs="Times New Roman"/>
        </w:rPr>
        <w:t>k kar zasadniczych środki karne</w:t>
      </w:r>
      <w:r w:rsidRPr="00FB2443">
        <w:rPr>
          <w:rFonts w:ascii="Times New Roman" w:hAnsi="Times New Roman" w:cs="Times New Roman"/>
        </w:rPr>
        <w:t xml:space="preserve">, między innymi obowiązek powstrzymania się od nadużywania alkoholu, powstrzymania się od przebywania w określonych środowiskach a także obowiązek poddania się leczeniu odwykowemu, zakaz kontaktowania się z pokrzywdzonym czy nakaz opuszczenia lokalu zajmowanego wspólnie z pokrzywdzonym. Jednak zdając sobie sprawę, że środki wolnościowe </w:t>
      </w:r>
      <w:r w:rsidRPr="00FB2443">
        <w:rPr>
          <w:rFonts w:ascii="Times New Roman" w:hAnsi="Times New Roman" w:cs="Times New Roman"/>
        </w:rPr>
        <w:lastRenderedPageBreak/>
        <w:t>nie zawsze są skute</w:t>
      </w:r>
      <w:r w:rsidR="00BC6A0F">
        <w:rPr>
          <w:rFonts w:ascii="Times New Roman" w:hAnsi="Times New Roman" w:cs="Times New Roman"/>
        </w:rPr>
        <w:t>czne</w:t>
      </w:r>
      <w:r w:rsidRPr="00FB2443">
        <w:rPr>
          <w:rFonts w:ascii="Times New Roman" w:hAnsi="Times New Roman" w:cs="Times New Roman"/>
        </w:rPr>
        <w:t>, coraz częściej prokuratorzy występują do Sądu o zastosowanie wobec sprawcy przemocy domowej izolacyjnego środka zapobiegawczego jakim jest tymczasowe aresztowanie.</w:t>
      </w:r>
    </w:p>
    <w:p w:rsidR="00A1104D" w:rsidRPr="00B0601C" w:rsidRDefault="00A1104D" w:rsidP="00B0601C">
      <w:pPr>
        <w:spacing w:line="410" w:lineRule="exact"/>
        <w:ind w:firstLine="920"/>
        <w:jc w:val="both"/>
        <w:rPr>
          <w:rFonts w:ascii="Times New Roman" w:hAnsi="Times New Roman" w:cs="Times New Roman"/>
          <w:color w:val="auto"/>
        </w:rPr>
      </w:pPr>
    </w:p>
    <w:p w:rsidR="00A1104D" w:rsidRPr="00A1104D" w:rsidRDefault="00A1104D" w:rsidP="00A1104D">
      <w:pPr>
        <w:spacing w:line="410" w:lineRule="exact"/>
        <w:ind w:firstLine="740"/>
        <w:jc w:val="both"/>
        <w:rPr>
          <w:rFonts w:ascii="Times New Roman" w:hAnsi="Times New Roman" w:cs="Times New Roman"/>
          <w:color w:val="auto"/>
        </w:rPr>
      </w:pPr>
      <w:r w:rsidRPr="00FB2443">
        <w:rPr>
          <w:rFonts w:ascii="Times New Roman" w:hAnsi="Times New Roman" w:cs="Times New Roman"/>
        </w:rPr>
        <w:t xml:space="preserve">W roku 2020 roku Prokuratura Rejonowa w Bolesławcu prowadziła 1 postępowanie dotyczące popełnienia zbrodni zabójstwa, to jest czynu z </w:t>
      </w:r>
      <w:r w:rsidRPr="00FB2443">
        <w:rPr>
          <w:rFonts w:ascii="Times New Roman" w:hAnsi="Times New Roman" w:cs="Times New Roman"/>
          <w:lang w:val="en-US" w:eastAsia="en-US"/>
        </w:rPr>
        <w:t xml:space="preserve">art. </w:t>
      </w:r>
      <w:r w:rsidRPr="00FB2443">
        <w:rPr>
          <w:rFonts w:ascii="Times New Roman" w:hAnsi="Times New Roman" w:cs="Times New Roman"/>
        </w:rPr>
        <w:t xml:space="preserve">148 § 1 kk oraz 2 postępowania dotyczące usiłowania popełnienie zbrodni zabójstwa, to jest czynu z </w:t>
      </w:r>
      <w:r w:rsidRPr="00FB2443">
        <w:rPr>
          <w:rFonts w:ascii="Times New Roman" w:hAnsi="Times New Roman" w:cs="Times New Roman"/>
          <w:lang w:val="en-US" w:eastAsia="en-US"/>
        </w:rPr>
        <w:t xml:space="preserve">art. </w:t>
      </w:r>
      <w:r w:rsidRPr="00FB2443">
        <w:rPr>
          <w:rFonts w:ascii="Times New Roman" w:hAnsi="Times New Roman" w:cs="Times New Roman"/>
        </w:rPr>
        <w:t xml:space="preserve">13 § 1 kk w zw. z </w:t>
      </w:r>
      <w:r w:rsidRPr="00FB2443">
        <w:rPr>
          <w:rFonts w:ascii="Times New Roman" w:hAnsi="Times New Roman" w:cs="Times New Roman"/>
          <w:lang w:val="en-US" w:eastAsia="en-US"/>
        </w:rPr>
        <w:t xml:space="preserve">art. </w:t>
      </w:r>
      <w:r w:rsidRPr="00FB2443">
        <w:rPr>
          <w:rFonts w:ascii="Times New Roman" w:hAnsi="Times New Roman" w:cs="Times New Roman"/>
        </w:rPr>
        <w:t>148 § 1 kk.</w:t>
      </w:r>
    </w:p>
    <w:p w:rsidR="00A1104D" w:rsidRPr="00A1104D" w:rsidRDefault="00A1104D" w:rsidP="00A1104D">
      <w:pPr>
        <w:spacing w:line="410" w:lineRule="exact"/>
        <w:ind w:firstLine="740"/>
        <w:jc w:val="both"/>
        <w:rPr>
          <w:rFonts w:ascii="Times New Roman" w:hAnsi="Times New Roman" w:cs="Times New Roman"/>
          <w:color w:val="auto"/>
        </w:rPr>
      </w:pPr>
      <w:r w:rsidRPr="00FB2443">
        <w:rPr>
          <w:rFonts w:ascii="Times New Roman" w:hAnsi="Times New Roman" w:cs="Times New Roman"/>
        </w:rPr>
        <w:t>Na podobnym poziomie co w poprzednich latach kształtowała się przestępczość przeciwko zdrowiu , bowie</w:t>
      </w:r>
      <w:r w:rsidR="00BC6A0F">
        <w:rPr>
          <w:rFonts w:ascii="Times New Roman" w:hAnsi="Times New Roman" w:cs="Times New Roman"/>
        </w:rPr>
        <w:t>m łącznie odnotowano 20 pobić (</w:t>
      </w:r>
      <w:r w:rsidRPr="00FB2443">
        <w:rPr>
          <w:rFonts w:ascii="Times New Roman" w:hAnsi="Times New Roman" w:cs="Times New Roman"/>
        </w:rPr>
        <w:t>w roku 2019 23 takie sp</w:t>
      </w:r>
      <w:r w:rsidR="00BC6A0F">
        <w:rPr>
          <w:rFonts w:ascii="Times New Roman" w:hAnsi="Times New Roman" w:cs="Times New Roman"/>
        </w:rPr>
        <w:t>rawy) oraz 91 uszkodzeń ciała (</w:t>
      </w:r>
      <w:r w:rsidRPr="00FB2443">
        <w:rPr>
          <w:rFonts w:ascii="Times New Roman" w:hAnsi="Times New Roman" w:cs="Times New Roman"/>
        </w:rPr>
        <w:t>w roku 2019-91 spraw).</w:t>
      </w:r>
    </w:p>
    <w:p w:rsidR="00A1104D" w:rsidRPr="00FB2443" w:rsidRDefault="00A1104D" w:rsidP="00A1104D">
      <w:pPr>
        <w:spacing w:line="410" w:lineRule="exact"/>
        <w:ind w:firstLine="740"/>
        <w:jc w:val="both"/>
        <w:rPr>
          <w:rFonts w:ascii="Times New Roman" w:hAnsi="Times New Roman" w:cs="Times New Roman"/>
        </w:rPr>
      </w:pPr>
      <w:r w:rsidRPr="00FB2443">
        <w:rPr>
          <w:rFonts w:ascii="Times New Roman" w:hAnsi="Times New Roman" w:cs="Times New Roman"/>
        </w:rPr>
        <w:t>Dziękuję za uwagę.</w:t>
      </w:r>
    </w:p>
    <w:p w:rsidR="00A1104D" w:rsidRDefault="00A1104D" w:rsidP="00A1104D">
      <w:pPr>
        <w:spacing w:line="410" w:lineRule="exact"/>
        <w:ind w:firstLine="740"/>
        <w:jc w:val="both"/>
        <w:rPr>
          <w:rFonts w:ascii="Times New Roman" w:hAnsi="Times New Roman" w:cs="Times New Roman"/>
        </w:rPr>
      </w:pPr>
    </w:p>
    <w:p w:rsidR="00A1104D" w:rsidRDefault="00BC6A0F" w:rsidP="00A1104D">
      <w:pPr>
        <w:framePr w:h="1289" w:hSpace="1498" w:wrap="notBeside" w:vAnchor="text" w:hAnchor="text" w:x="4983" w:y="1"/>
        <w:jc w:val="center"/>
        <w:rPr>
          <w:color w:val="auto"/>
          <w:sz w:val="2"/>
          <w:szCs w:val="2"/>
        </w:rPr>
      </w:pPr>
      <w:r>
        <w:rPr>
          <w:noProof/>
          <w:color w:val="auto"/>
          <w:sz w:val="2"/>
          <w:szCs w:val="2"/>
        </w:rPr>
        <w:drawing>
          <wp:inline distT="0" distB="0" distL="0" distR="0">
            <wp:extent cx="1664970" cy="819150"/>
            <wp:effectExtent l="0" t="0" r="0" b="0"/>
            <wp:docPr id="58" name="Obraz 58" descr="Podpis Prokuratora Rejonowego w Bolesławcu Ewy Łomnicki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97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04D" w:rsidRDefault="00A1104D" w:rsidP="00786A51">
      <w:pPr>
        <w:pStyle w:val="Bodytext20"/>
        <w:shd w:val="clear" w:color="auto" w:fill="auto"/>
        <w:spacing w:after="0" w:line="410" w:lineRule="exact"/>
        <w:jc w:val="both"/>
      </w:pPr>
      <w:bookmarkStart w:id="2" w:name="_GoBack"/>
      <w:bookmarkEnd w:id="2"/>
    </w:p>
    <w:sectPr w:rsidR="00A1104D">
      <w:pgSz w:w="11900" w:h="16840"/>
      <w:pgMar w:top="1941" w:right="1436" w:bottom="1718" w:left="132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FCB" w:rsidRDefault="00DD2FCB">
      <w:r>
        <w:separator/>
      </w:r>
    </w:p>
  </w:endnote>
  <w:endnote w:type="continuationSeparator" w:id="0">
    <w:p w:rsidR="00DD2FCB" w:rsidRDefault="00DD2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neva">
    <w:altName w:val="Arial"/>
    <w:panose1 w:val="00000000000000000000"/>
    <w:charset w:val="EE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FCB" w:rsidRDefault="00DD2FCB">
      <w:r>
        <w:separator/>
      </w:r>
    </w:p>
  </w:footnote>
  <w:footnote w:type="continuationSeparator" w:id="0">
    <w:p w:rsidR="00DD2FCB" w:rsidRDefault="00DD2F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proofState w:spelling="clean"/>
  <w:defaultTabStop w:val="720"/>
  <w:hyphenationZone w:val="425"/>
  <w:drawingGridHorizontalSpacing w:val="181"/>
  <w:drawingGridVerticalSpacing w:val="181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01C"/>
    <w:rsid w:val="00741D82"/>
    <w:rsid w:val="00786A51"/>
    <w:rsid w:val="00A1104D"/>
    <w:rsid w:val="00A54BCB"/>
    <w:rsid w:val="00AE685E"/>
    <w:rsid w:val="00B0601C"/>
    <w:rsid w:val="00BC6A0F"/>
    <w:rsid w:val="00DD2FCB"/>
    <w:rsid w:val="00F70B60"/>
    <w:rsid w:val="00FB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</w:pPr>
    <w:rPr>
      <w:rFonts w:cs="Arial Unicode MS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Pr>
      <w:color w:val="0066CC"/>
      <w:u w:val="single"/>
    </w:rPr>
  </w:style>
  <w:style w:type="character" w:customStyle="1" w:styleId="Bodytext2">
    <w:name w:val="Body text (2)_"/>
    <w:basedOn w:val="Domylnaczcionkaakapitu"/>
    <w:link w:val="Bodytext20"/>
    <w:uiPriority w:val="99"/>
    <w:rPr>
      <w:rFonts w:ascii="Times New Roman" w:hAnsi="Times New Roman" w:cs="Times New Roman"/>
      <w:u w:val="none"/>
    </w:rPr>
  </w:style>
  <w:style w:type="character" w:customStyle="1" w:styleId="Headerorfooter">
    <w:name w:val="Header or footer_"/>
    <w:basedOn w:val="Domylnaczcionkaakapitu"/>
    <w:link w:val="Headerorfooter1"/>
    <w:uiPriority w:val="99"/>
    <w:rPr>
      <w:rFonts w:ascii="Geneva" w:hAnsi="Geneva" w:cs="Geneva"/>
      <w:sz w:val="20"/>
      <w:szCs w:val="20"/>
      <w:u w:val="none"/>
    </w:rPr>
  </w:style>
  <w:style w:type="character" w:customStyle="1" w:styleId="Headerorfooter0">
    <w:name w:val="Header or footer"/>
    <w:basedOn w:val="Headerorfooter"/>
    <w:uiPriority w:val="99"/>
    <w:rPr>
      <w:rFonts w:ascii="Geneva" w:hAnsi="Geneva" w:cs="Geneva"/>
      <w:sz w:val="20"/>
      <w:szCs w:val="20"/>
      <w:u w:val="none"/>
    </w:rPr>
  </w:style>
  <w:style w:type="character" w:customStyle="1" w:styleId="Heading1">
    <w:name w:val="Heading #1_"/>
    <w:basedOn w:val="Domylnaczcionkaakapitu"/>
    <w:link w:val="Heading10"/>
    <w:uiPriority w:val="99"/>
    <w:rPr>
      <w:rFonts w:ascii="Times New Roman" w:hAnsi="Times New Roman" w:cs="Times New Roman"/>
      <w:b/>
      <w:bCs/>
      <w:u w:val="none"/>
    </w:rPr>
  </w:style>
  <w:style w:type="paragraph" w:customStyle="1" w:styleId="Bodytext20">
    <w:name w:val="Body text (2)"/>
    <w:basedOn w:val="Normalny"/>
    <w:link w:val="Bodytext2"/>
    <w:uiPriority w:val="99"/>
    <w:pPr>
      <w:shd w:val="clear" w:color="auto" w:fill="FFFFFF"/>
      <w:spacing w:after="1020" w:line="240" w:lineRule="atLeast"/>
      <w:jc w:val="right"/>
    </w:pPr>
    <w:rPr>
      <w:rFonts w:ascii="Times New Roman" w:hAnsi="Times New Roman" w:cs="Times New Roman"/>
      <w:color w:val="auto"/>
    </w:rPr>
  </w:style>
  <w:style w:type="paragraph" w:customStyle="1" w:styleId="Headerorfooter1">
    <w:name w:val="Header or footer1"/>
    <w:basedOn w:val="Normalny"/>
    <w:link w:val="Headerorfooter"/>
    <w:uiPriority w:val="99"/>
    <w:pPr>
      <w:shd w:val="clear" w:color="auto" w:fill="FFFFFF"/>
      <w:spacing w:line="240" w:lineRule="atLeast"/>
    </w:pPr>
    <w:rPr>
      <w:rFonts w:ascii="Geneva" w:hAnsi="Geneva" w:cs="Geneva"/>
      <w:color w:val="auto"/>
      <w:sz w:val="20"/>
      <w:szCs w:val="20"/>
    </w:rPr>
  </w:style>
  <w:style w:type="paragraph" w:customStyle="1" w:styleId="Heading10">
    <w:name w:val="Heading #1"/>
    <w:basedOn w:val="Normalny"/>
    <w:link w:val="Heading1"/>
    <w:uiPriority w:val="99"/>
    <w:pPr>
      <w:shd w:val="clear" w:color="auto" w:fill="FFFFFF"/>
      <w:spacing w:before="1020" w:line="410" w:lineRule="exact"/>
      <w:jc w:val="center"/>
      <w:outlineLvl w:val="0"/>
    </w:pPr>
    <w:rPr>
      <w:rFonts w:ascii="Times New Roman" w:hAnsi="Times New Roman" w:cs="Times New Roman"/>
      <w:b/>
      <w:bCs/>
      <w:color w:val="auto"/>
    </w:rPr>
  </w:style>
  <w:style w:type="paragraph" w:styleId="Nagwek">
    <w:name w:val="header"/>
    <w:basedOn w:val="Normalny"/>
    <w:link w:val="NagwekZnak"/>
    <w:uiPriority w:val="99"/>
    <w:unhideWhenUsed/>
    <w:rsid w:val="00B060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0601C"/>
    <w:rPr>
      <w:rFonts w:cs="Arial Unicode MS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B060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601C"/>
    <w:rPr>
      <w:rFonts w:cs="Arial Unicode MS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4BC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BCB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</w:pPr>
    <w:rPr>
      <w:rFonts w:cs="Arial Unicode MS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Pr>
      <w:color w:val="0066CC"/>
      <w:u w:val="single"/>
    </w:rPr>
  </w:style>
  <w:style w:type="character" w:customStyle="1" w:styleId="Bodytext2">
    <w:name w:val="Body text (2)_"/>
    <w:basedOn w:val="Domylnaczcionkaakapitu"/>
    <w:link w:val="Bodytext20"/>
    <w:uiPriority w:val="99"/>
    <w:rPr>
      <w:rFonts w:ascii="Times New Roman" w:hAnsi="Times New Roman" w:cs="Times New Roman"/>
      <w:u w:val="none"/>
    </w:rPr>
  </w:style>
  <w:style w:type="character" w:customStyle="1" w:styleId="Headerorfooter">
    <w:name w:val="Header or footer_"/>
    <w:basedOn w:val="Domylnaczcionkaakapitu"/>
    <w:link w:val="Headerorfooter1"/>
    <w:uiPriority w:val="99"/>
    <w:rPr>
      <w:rFonts w:ascii="Geneva" w:hAnsi="Geneva" w:cs="Geneva"/>
      <w:sz w:val="20"/>
      <w:szCs w:val="20"/>
      <w:u w:val="none"/>
    </w:rPr>
  </w:style>
  <w:style w:type="character" w:customStyle="1" w:styleId="Headerorfooter0">
    <w:name w:val="Header or footer"/>
    <w:basedOn w:val="Headerorfooter"/>
    <w:uiPriority w:val="99"/>
    <w:rPr>
      <w:rFonts w:ascii="Geneva" w:hAnsi="Geneva" w:cs="Geneva"/>
      <w:sz w:val="20"/>
      <w:szCs w:val="20"/>
      <w:u w:val="none"/>
    </w:rPr>
  </w:style>
  <w:style w:type="character" w:customStyle="1" w:styleId="Heading1">
    <w:name w:val="Heading #1_"/>
    <w:basedOn w:val="Domylnaczcionkaakapitu"/>
    <w:link w:val="Heading10"/>
    <w:uiPriority w:val="99"/>
    <w:rPr>
      <w:rFonts w:ascii="Times New Roman" w:hAnsi="Times New Roman" w:cs="Times New Roman"/>
      <w:b/>
      <w:bCs/>
      <w:u w:val="none"/>
    </w:rPr>
  </w:style>
  <w:style w:type="paragraph" w:customStyle="1" w:styleId="Bodytext20">
    <w:name w:val="Body text (2)"/>
    <w:basedOn w:val="Normalny"/>
    <w:link w:val="Bodytext2"/>
    <w:uiPriority w:val="99"/>
    <w:pPr>
      <w:shd w:val="clear" w:color="auto" w:fill="FFFFFF"/>
      <w:spacing w:after="1020" w:line="240" w:lineRule="atLeast"/>
      <w:jc w:val="right"/>
    </w:pPr>
    <w:rPr>
      <w:rFonts w:ascii="Times New Roman" w:hAnsi="Times New Roman" w:cs="Times New Roman"/>
      <w:color w:val="auto"/>
    </w:rPr>
  </w:style>
  <w:style w:type="paragraph" w:customStyle="1" w:styleId="Headerorfooter1">
    <w:name w:val="Header or footer1"/>
    <w:basedOn w:val="Normalny"/>
    <w:link w:val="Headerorfooter"/>
    <w:uiPriority w:val="99"/>
    <w:pPr>
      <w:shd w:val="clear" w:color="auto" w:fill="FFFFFF"/>
      <w:spacing w:line="240" w:lineRule="atLeast"/>
    </w:pPr>
    <w:rPr>
      <w:rFonts w:ascii="Geneva" w:hAnsi="Geneva" w:cs="Geneva"/>
      <w:color w:val="auto"/>
      <w:sz w:val="20"/>
      <w:szCs w:val="20"/>
    </w:rPr>
  </w:style>
  <w:style w:type="paragraph" w:customStyle="1" w:styleId="Heading10">
    <w:name w:val="Heading #1"/>
    <w:basedOn w:val="Normalny"/>
    <w:link w:val="Heading1"/>
    <w:uiPriority w:val="99"/>
    <w:pPr>
      <w:shd w:val="clear" w:color="auto" w:fill="FFFFFF"/>
      <w:spacing w:before="1020" w:line="410" w:lineRule="exact"/>
      <w:jc w:val="center"/>
      <w:outlineLvl w:val="0"/>
    </w:pPr>
    <w:rPr>
      <w:rFonts w:ascii="Times New Roman" w:hAnsi="Times New Roman" w:cs="Times New Roman"/>
      <w:b/>
      <w:bCs/>
      <w:color w:val="auto"/>
    </w:rPr>
  </w:style>
  <w:style w:type="paragraph" w:styleId="Nagwek">
    <w:name w:val="header"/>
    <w:basedOn w:val="Normalny"/>
    <w:link w:val="NagwekZnak"/>
    <w:uiPriority w:val="99"/>
    <w:unhideWhenUsed/>
    <w:rsid w:val="00B060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0601C"/>
    <w:rPr>
      <w:rFonts w:cs="Arial Unicode MS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B060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601C"/>
    <w:rPr>
      <w:rFonts w:cs="Arial Unicode MS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4BC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BCB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1053</Words>
  <Characters>6320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4</cp:revision>
  <dcterms:created xsi:type="dcterms:W3CDTF">2021-03-23T08:18:00Z</dcterms:created>
  <dcterms:modified xsi:type="dcterms:W3CDTF">2021-06-11T10:52:00Z</dcterms:modified>
</cp:coreProperties>
</file>