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E1501" w:rsidRDefault="00AE1501" w:rsidP="00AE1501">
      <w:pPr>
        <w:pStyle w:val="Tekstpodstawowy"/>
        <w:jc w:val="both"/>
        <w:rPr>
          <w:b w:val="0"/>
          <w:bCs w:val="0"/>
        </w:rPr>
      </w:pPr>
      <w:r>
        <w:t xml:space="preserve">                                                                   </w:t>
      </w:r>
      <w:r>
        <w:rPr>
          <w:b w:val="0"/>
          <w:bCs w:val="0"/>
        </w:rPr>
        <w:t>Załącznik Nr 1</w:t>
      </w:r>
    </w:p>
    <w:p w:rsidR="00AE1501" w:rsidRDefault="00AE1501" w:rsidP="00AE1501">
      <w:pPr>
        <w:pStyle w:val="Tekstpodstawowy"/>
        <w:jc w:val="both"/>
        <w:rPr>
          <w:b w:val="0"/>
          <w:bCs w:val="0"/>
        </w:rPr>
      </w:pPr>
      <w:r>
        <w:rPr>
          <w:b w:val="0"/>
          <w:bCs w:val="0"/>
        </w:rPr>
        <w:t xml:space="preserve">                                                                   do Zarządzenia Nr 49/09</w:t>
      </w:r>
    </w:p>
    <w:p w:rsidR="00AE1501" w:rsidRDefault="00AE1501" w:rsidP="00AE1501">
      <w:pPr>
        <w:pStyle w:val="Tekstpodstawowy"/>
        <w:jc w:val="both"/>
        <w:rPr>
          <w:b w:val="0"/>
          <w:bCs w:val="0"/>
        </w:rPr>
      </w:pPr>
      <w:r>
        <w:rPr>
          <w:b w:val="0"/>
          <w:bCs w:val="0"/>
        </w:rPr>
        <w:t xml:space="preserve">                                                                   Prezydenta Miasta Bolesławiec</w:t>
      </w:r>
    </w:p>
    <w:p w:rsidR="00AE1501" w:rsidRDefault="00AE1501" w:rsidP="00AE1501">
      <w:pPr>
        <w:pStyle w:val="Tekstpodstawowy"/>
        <w:jc w:val="both"/>
        <w:rPr>
          <w:b w:val="0"/>
          <w:bCs w:val="0"/>
        </w:rPr>
      </w:pPr>
      <w:r>
        <w:rPr>
          <w:b w:val="0"/>
          <w:bCs w:val="0"/>
        </w:rPr>
        <w:t xml:space="preserve">                                                                   z dnia  24 lutego 2009 roku</w:t>
      </w:r>
    </w:p>
    <w:p w:rsidR="00AE1501" w:rsidRDefault="00AE1501" w:rsidP="00AE1501">
      <w:pPr>
        <w:pStyle w:val="Tekstpodstawowy"/>
        <w:jc w:val="both"/>
        <w:rPr>
          <w:b w:val="0"/>
          <w:bCs w:val="0"/>
        </w:rPr>
      </w:pPr>
      <w:r>
        <w:rPr>
          <w:b w:val="0"/>
          <w:bCs w:val="0"/>
        </w:rPr>
        <w:t xml:space="preserve">                                                                   </w:t>
      </w:r>
    </w:p>
    <w:p w:rsidR="00AE1501" w:rsidRDefault="00AE1501" w:rsidP="00AE1501">
      <w:pPr>
        <w:pStyle w:val="Tekstpodstawowy"/>
        <w:jc w:val="both"/>
        <w:rPr>
          <w:b w:val="0"/>
          <w:bCs w:val="0"/>
        </w:rPr>
      </w:pPr>
      <w:r>
        <w:rPr>
          <w:b w:val="0"/>
          <w:bCs w:val="0"/>
          <w:sz w:val="28"/>
        </w:rPr>
        <w:t xml:space="preserve">                                      WYKAZ – OBWIESZCZENIE </w:t>
      </w:r>
    </w:p>
    <w:p w:rsidR="00AE1501" w:rsidRDefault="00AE1501" w:rsidP="00AE1501">
      <w:pPr>
        <w:pStyle w:val="Tekstpodstawowy"/>
        <w:jc w:val="both"/>
        <w:rPr>
          <w:b w:val="0"/>
          <w:bCs w:val="0"/>
          <w:u w:val="single"/>
        </w:rPr>
      </w:pPr>
      <w:r>
        <w:rPr>
          <w:b w:val="0"/>
          <w:bCs w:val="0"/>
        </w:rPr>
        <w:t xml:space="preserve">działki niezabudowanej przewidzianej do sprzedaży w drodze przetargu ustnego nieograniczonego – z przeznaczeniem pod zabudowę usługową.  </w:t>
      </w:r>
    </w:p>
    <w:p w:rsidR="00AE1501" w:rsidRDefault="00AE1501" w:rsidP="00AE1501">
      <w:pPr>
        <w:pStyle w:val="Tekstpodstawowy"/>
        <w:jc w:val="both"/>
        <w:rPr>
          <w:b w:val="0"/>
          <w:bCs w:val="0"/>
        </w:rPr>
      </w:pPr>
    </w:p>
    <w:p w:rsidR="00AE1501" w:rsidRDefault="00AE1501" w:rsidP="00AE1501">
      <w:pPr>
        <w:pStyle w:val="Tekstpodstawowy"/>
        <w:jc w:val="both"/>
        <w:rPr>
          <w:b w:val="0"/>
          <w:bCs w:val="0"/>
          <w:u w:val="single"/>
        </w:rPr>
      </w:pPr>
      <w:r>
        <w:rPr>
          <w:sz w:val="28"/>
          <w:u w:val="single"/>
        </w:rPr>
        <w:t xml:space="preserve">1. ul. Leśna </w:t>
      </w:r>
      <w:r>
        <w:rPr>
          <w:b w:val="0"/>
          <w:bCs w:val="0"/>
          <w:u w:val="single"/>
        </w:rPr>
        <w:t xml:space="preserve">– </w:t>
      </w:r>
      <w:r>
        <w:rPr>
          <w:b w:val="0"/>
          <w:bCs w:val="0"/>
          <w:sz w:val="28"/>
          <w:u w:val="single"/>
        </w:rPr>
        <w:t xml:space="preserve">działka niezabudowana nr 224 o pow. 0.5457 ha, AM 05, obręb 11, o użytku </w:t>
      </w:r>
      <w:proofErr w:type="spellStart"/>
      <w:r>
        <w:rPr>
          <w:b w:val="0"/>
          <w:bCs w:val="0"/>
          <w:sz w:val="28"/>
          <w:u w:val="single"/>
        </w:rPr>
        <w:t>RIVa</w:t>
      </w:r>
      <w:proofErr w:type="spellEnd"/>
      <w:r>
        <w:rPr>
          <w:b w:val="0"/>
          <w:bCs w:val="0"/>
          <w:u w:val="single"/>
        </w:rPr>
        <w:t xml:space="preserve">. </w:t>
      </w:r>
    </w:p>
    <w:p w:rsidR="00AE1501" w:rsidRDefault="00AE1501" w:rsidP="00AE1501">
      <w:pPr>
        <w:pStyle w:val="Tekstpodstawowy"/>
        <w:tabs>
          <w:tab w:val="left" w:pos="2170"/>
        </w:tabs>
        <w:jc w:val="both"/>
        <w:rPr>
          <w:b w:val="0"/>
          <w:bCs w:val="0"/>
        </w:rPr>
      </w:pPr>
      <w:r>
        <w:rPr>
          <w:b w:val="0"/>
          <w:bCs w:val="0"/>
        </w:rPr>
        <w:t xml:space="preserve">Działka położona jest w śródmiejskiej części Bolesławca przy ul. Leśnej, bezpośrednio przylega do obwodnicy miejskiej przy ul. Jeleniogórskiej. Położona jest przy utwardzonej drodze o nawierzchni asfaltowej, w strefie pełnego uzbrojenia. W pobliżu znajdują się przystanki komunikacji miejskiej. W najbliższym sąsiedztwie znajdują się nieruchomości            z zabudową usługowo- mieszkalną oraz szpital powiatowy i targowisko miejskie.   </w:t>
      </w:r>
    </w:p>
    <w:p w:rsidR="00AE1501" w:rsidRDefault="00AE1501" w:rsidP="00AE1501">
      <w:pPr>
        <w:pStyle w:val="Tekstpodstawowy"/>
        <w:jc w:val="both"/>
        <w:rPr>
          <w:sz w:val="28"/>
        </w:rPr>
      </w:pPr>
      <w:r>
        <w:rPr>
          <w:sz w:val="28"/>
        </w:rPr>
        <w:t>2. Cena gruntu (brutto) wynosi – 1.000.000 zł – wywoławcza do przetargu</w:t>
      </w:r>
    </w:p>
    <w:p w:rsidR="00AE1501" w:rsidRDefault="00AE1501" w:rsidP="00AE1501">
      <w:pPr>
        <w:pStyle w:val="Tekstpodstawowy"/>
        <w:jc w:val="both"/>
        <w:rPr>
          <w:b w:val="0"/>
          <w:bCs w:val="0"/>
        </w:rPr>
      </w:pPr>
      <w:r>
        <w:rPr>
          <w:b w:val="0"/>
          <w:bCs w:val="0"/>
        </w:rPr>
        <w:t>W cenę gruntu wliczony jest należny podatek VAT w wysokości 22%.</w:t>
      </w:r>
    </w:p>
    <w:p w:rsidR="00AE1501" w:rsidRDefault="00AE1501" w:rsidP="00AE1501">
      <w:pPr>
        <w:pStyle w:val="Tekstpodstawowy"/>
        <w:tabs>
          <w:tab w:val="left" w:pos="2170"/>
        </w:tabs>
        <w:jc w:val="both"/>
      </w:pPr>
      <w:r>
        <w:rPr>
          <w:b w:val="0"/>
          <w:bCs w:val="0"/>
        </w:rPr>
        <w:t xml:space="preserve">Cena osiągnięta w przetargu, płatna będzie w całości przed zawarciem umowy notarialnej, łącznie z podatkiem VAT.      </w:t>
      </w:r>
    </w:p>
    <w:p w:rsidR="00AE1501" w:rsidRDefault="00AE1501" w:rsidP="00AE1501">
      <w:pPr>
        <w:pStyle w:val="Tekstpodstawowy"/>
        <w:tabs>
          <w:tab w:val="left" w:pos="2170"/>
        </w:tabs>
        <w:jc w:val="both"/>
        <w:rPr>
          <w:b w:val="0"/>
          <w:bCs w:val="0"/>
        </w:rPr>
      </w:pPr>
      <w:r>
        <w:t>3.</w:t>
      </w:r>
      <w:r>
        <w:rPr>
          <w:b w:val="0"/>
          <w:bCs w:val="0"/>
        </w:rPr>
        <w:t xml:space="preserve"> Dla terenów oznaczonych na rysunkach planu symbolem F-U2, ustala się jako przeznaczenie:</w:t>
      </w:r>
    </w:p>
    <w:p w:rsidR="00AE1501" w:rsidRDefault="00AE1501" w:rsidP="00AE1501">
      <w:pPr>
        <w:pStyle w:val="Tekstpodstawowy"/>
        <w:tabs>
          <w:tab w:val="left" w:pos="2170"/>
        </w:tabs>
        <w:jc w:val="both"/>
        <w:rPr>
          <w:b w:val="0"/>
          <w:bCs w:val="0"/>
        </w:rPr>
      </w:pPr>
      <w:r>
        <w:rPr>
          <w:b w:val="0"/>
          <w:bCs w:val="0"/>
        </w:rPr>
        <w:t xml:space="preserve">- podstawowe usługi, </w:t>
      </w:r>
    </w:p>
    <w:p w:rsidR="00AE1501" w:rsidRDefault="00AE1501" w:rsidP="00AE1501">
      <w:pPr>
        <w:pStyle w:val="Tekstpodstawowy"/>
        <w:tabs>
          <w:tab w:val="left" w:pos="2170"/>
        </w:tabs>
        <w:jc w:val="both"/>
        <w:rPr>
          <w:b w:val="0"/>
          <w:bCs w:val="0"/>
        </w:rPr>
      </w:pPr>
      <w:r>
        <w:rPr>
          <w:b w:val="0"/>
          <w:bCs w:val="0"/>
        </w:rPr>
        <w:t>- równorzędne usługi sportu i rekreacji,</w:t>
      </w:r>
    </w:p>
    <w:p w:rsidR="00AE1501" w:rsidRDefault="00AE1501" w:rsidP="00AE1501">
      <w:pPr>
        <w:pStyle w:val="Tekstpodstawowy"/>
        <w:tabs>
          <w:tab w:val="left" w:pos="2170"/>
        </w:tabs>
        <w:jc w:val="both"/>
        <w:rPr>
          <w:b w:val="0"/>
          <w:bCs w:val="0"/>
        </w:rPr>
      </w:pPr>
      <w:r>
        <w:rPr>
          <w:b w:val="0"/>
          <w:bCs w:val="0"/>
        </w:rPr>
        <w:t>- uzupełniające – usługi publiczne, stanowiące nie więcej niż 30% powierzchni terenu.</w:t>
      </w:r>
    </w:p>
    <w:p w:rsidR="00AE1501" w:rsidRDefault="00AE1501" w:rsidP="00AE1501">
      <w:pPr>
        <w:pStyle w:val="Tekstpodstawowy"/>
        <w:tabs>
          <w:tab w:val="left" w:pos="2170"/>
        </w:tabs>
        <w:jc w:val="both"/>
        <w:rPr>
          <w:b w:val="0"/>
          <w:bCs w:val="0"/>
        </w:rPr>
      </w:pPr>
      <w:r>
        <w:rPr>
          <w:b w:val="0"/>
          <w:bCs w:val="0"/>
        </w:rPr>
        <w:t>Parametry i wskaźniki kształtowania zabudowy oraz zagospodarowania terenu:</w:t>
      </w:r>
    </w:p>
    <w:p w:rsidR="00AE1501" w:rsidRDefault="00AE1501" w:rsidP="00AE1501">
      <w:pPr>
        <w:pStyle w:val="Tekstpodstawowy"/>
        <w:tabs>
          <w:tab w:val="left" w:pos="2170"/>
        </w:tabs>
        <w:jc w:val="both"/>
        <w:rPr>
          <w:b w:val="0"/>
          <w:bCs w:val="0"/>
        </w:rPr>
      </w:pPr>
      <w:r>
        <w:rPr>
          <w:b w:val="0"/>
          <w:bCs w:val="0"/>
        </w:rPr>
        <w:t>1. obowiązuje zabudowa w układzie wolnostojącym,</w:t>
      </w:r>
    </w:p>
    <w:p w:rsidR="00AE1501" w:rsidRDefault="00AE1501" w:rsidP="00AE1501">
      <w:pPr>
        <w:pStyle w:val="Tekstpodstawowy"/>
        <w:tabs>
          <w:tab w:val="left" w:pos="2170"/>
        </w:tabs>
        <w:jc w:val="both"/>
        <w:rPr>
          <w:b w:val="0"/>
          <w:bCs w:val="0"/>
        </w:rPr>
      </w:pPr>
      <w:r>
        <w:rPr>
          <w:b w:val="0"/>
          <w:bCs w:val="0"/>
        </w:rPr>
        <w:t>2. wysokość zabudowy wynosi nie więcej niż:</w:t>
      </w:r>
    </w:p>
    <w:p w:rsidR="00AE1501" w:rsidRDefault="00AE1501" w:rsidP="00AE1501">
      <w:pPr>
        <w:pStyle w:val="Tekstpodstawowy"/>
        <w:tabs>
          <w:tab w:val="left" w:pos="2170"/>
        </w:tabs>
        <w:jc w:val="both"/>
        <w:rPr>
          <w:b w:val="0"/>
          <w:bCs w:val="0"/>
        </w:rPr>
      </w:pPr>
      <w:r>
        <w:rPr>
          <w:b w:val="0"/>
          <w:bCs w:val="0"/>
        </w:rPr>
        <w:t xml:space="preserve">    a/ trzy kondygnacje nadziemne, w tym parter, piętro i poddasze, lub parter i dwa piętra,</w:t>
      </w:r>
    </w:p>
    <w:p w:rsidR="00AE1501" w:rsidRDefault="00AE1501" w:rsidP="00AE1501">
      <w:pPr>
        <w:pStyle w:val="Tekstpodstawowy"/>
        <w:tabs>
          <w:tab w:val="left" w:pos="2170"/>
        </w:tabs>
        <w:jc w:val="both"/>
        <w:rPr>
          <w:b w:val="0"/>
          <w:bCs w:val="0"/>
        </w:rPr>
      </w:pPr>
      <w:r>
        <w:rPr>
          <w:b w:val="0"/>
          <w:bCs w:val="0"/>
        </w:rPr>
        <w:t xml:space="preserve">    b/ 15m, </w:t>
      </w:r>
    </w:p>
    <w:p w:rsidR="00AE1501" w:rsidRDefault="00AE1501" w:rsidP="00AE1501">
      <w:pPr>
        <w:pStyle w:val="Tekstpodstawowy"/>
        <w:tabs>
          <w:tab w:val="left" w:pos="2170"/>
        </w:tabs>
        <w:jc w:val="both"/>
        <w:rPr>
          <w:b w:val="0"/>
          <w:bCs w:val="0"/>
        </w:rPr>
      </w:pPr>
      <w:r>
        <w:rPr>
          <w:b w:val="0"/>
          <w:bCs w:val="0"/>
        </w:rPr>
        <w:t>3. maksymalny wskaźnik zabudowy działki wynosi 0.35,</w:t>
      </w:r>
    </w:p>
    <w:p w:rsidR="00AE1501" w:rsidRDefault="00AE1501" w:rsidP="00AE1501">
      <w:pPr>
        <w:pStyle w:val="Tekstpodstawowy"/>
        <w:tabs>
          <w:tab w:val="left" w:pos="2170"/>
        </w:tabs>
        <w:jc w:val="both"/>
        <w:rPr>
          <w:b w:val="0"/>
          <w:bCs w:val="0"/>
        </w:rPr>
      </w:pPr>
      <w:r>
        <w:rPr>
          <w:b w:val="0"/>
          <w:bCs w:val="0"/>
        </w:rPr>
        <w:t>4. minimalny udział powierzchni biologicznie czynnej działki ustala się na 30%.</w:t>
      </w:r>
    </w:p>
    <w:p w:rsidR="00AE1501" w:rsidRDefault="00AE1501" w:rsidP="00AE1501">
      <w:pPr>
        <w:pStyle w:val="Tekstpodstawowy"/>
        <w:tabs>
          <w:tab w:val="left" w:pos="2170"/>
        </w:tabs>
        <w:jc w:val="both"/>
        <w:rPr>
          <w:b w:val="0"/>
          <w:bCs w:val="0"/>
        </w:rPr>
      </w:pPr>
      <w:r>
        <w:rPr>
          <w:b w:val="0"/>
          <w:bCs w:val="0"/>
        </w:rPr>
        <w:t>Dojazd odbywać się będzie z ulicy lokalnej, oznaczonej symbolem F-KDI1( ul. Leśna). Ustala się obowiązek zapewnienia stanowisk postojowych, w tym parkingów terenowych                  i garaży, w ilości nie mniejszej niż 1 miejsce na każde rozpoczęte 25 m</w:t>
      </w:r>
      <w:r>
        <w:rPr>
          <w:b w:val="0"/>
          <w:bCs w:val="0"/>
          <w:vertAlign w:val="superscript"/>
        </w:rPr>
        <w:t>2</w:t>
      </w:r>
      <w:r>
        <w:rPr>
          <w:b w:val="0"/>
          <w:bCs w:val="0"/>
        </w:rPr>
        <w:t xml:space="preserve"> powierzchni użytkowej usług zlokalizowanych na działce, lecz nie mniej niż 2 stanowiska postojowe.</w:t>
      </w:r>
    </w:p>
    <w:p w:rsidR="00AE1501" w:rsidRDefault="00AE1501" w:rsidP="00AE1501">
      <w:pPr>
        <w:pStyle w:val="Tekstpodstawowy"/>
        <w:jc w:val="both"/>
        <w:rPr>
          <w:b w:val="0"/>
          <w:bCs w:val="0"/>
        </w:rPr>
      </w:pPr>
      <w:r>
        <w:t>4.</w:t>
      </w:r>
      <w:r>
        <w:rPr>
          <w:b w:val="0"/>
          <w:bCs w:val="0"/>
        </w:rPr>
        <w:t xml:space="preserve"> Na przedmiotowej działce występuje zadrzewienie i zakrzaczenie. Ewentualne usunięcie drzew rosnących z terenu działki wymaga uzyskania zezwolenia i wniesienia opłat zgodnie z ustawą o ochronie przyrody z dnia 16 kwietnia 2004r. (</w:t>
      </w:r>
      <w:proofErr w:type="spellStart"/>
      <w:r>
        <w:rPr>
          <w:b w:val="0"/>
          <w:bCs w:val="0"/>
        </w:rPr>
        <w:t>Dz.U</w:t>
      </w:r>
      <w:proofErr w:type="spellEnd"/>
      <w:r>
        <w:rPr>
          <w:b w:val="0"/>
          <w:bCs w:val="0"/>
        </w:rPr>
        <w:t>. Nr 92, poz. 880 ze zm.).</w:t>
      </w:r>
    </w:p>
    <w:p w:rsidR="00AE1501" w:rsidRDefault="00AE1501" w:rsidP="00AE1501">
      <w:pPr>
        <w:pStyle w:val="Tekstpodstawowy"/>
        <w:jc w:val="both"/>
        <w:rPr>
          <w:b w:val="0"/>
          <w:bCs w:val="0"/>
        </w:rPr>
      </w:pPr>
      <w:r>
        <w:t>5.</w:t>
      </w:r>
      <w:r>
        <w:rPr>
          <w:b w:val="0"/>
          <w:bCs w:val="0"/>
        </w:rPr>
        <w:t xml:space="preserve"> Ustala się 5 letni termin zabudowy wymienionej działki. Rozpoczęcie zabudowy winno nastąpić w ciągu 2 lat, a zakończenie w ciągu następnych 3 lat, licząc od daty spisania umowy notarialnej. Za rozpoczęcie budowy, zgodnie z art.62 ust.3 ustawy o gospodarce nieruchomościami, uważa się wybudowanie fundamentów, a za zakończenie budowy wybudowanie budynku w stanie surowym zamkniętym. Określone terminy wiążą również następców prawnych.  </w:t>
      </w:r>
    </w:p>
    <w:p w:rsidR="00AE1501" w:rsidRDefault="00AE1501" w:rsidP="00AE1501">
      <w:pPr>
        <w:pStyle w:val="Tekstpodstawowy"/>
        <w:jc w:val="both"/>
        <w:rPr>
          <w:b w:val="0"/>
          <w:bCs w:val="0"/>
        </w:rPr>
      </w:pPr>
      <w:r>
        <w:t>6.</w:t>
      </w:r>
      <w:r>
        <w:rPr>
          <w:b w:val="0"/>
          <w:bCs w:val="0"/>
        </w:rPr>
        <w:t xml:space="preserve"> Mając na celu racjonalną gospodarkę terenami przeznaczonymi pod budownictwo usługowe oraz dla zapewnienia dotrzymania ustalonych w pkt.5 terminów zabudowy działki - sprzedający zastrzega sobie, oprócz ustawowego prawa pierwokupu, prawo odkupu sprzedawanej nieruchomości zgodnie z art. 593-595 Kodeksu Cywilnego. Prawo to zostanie ujawnione w księdze wieczystej.</w:t>
      </w:r>
    </w:p>
    <w:p w:rsidR="00AE1501" w:rsidRDefault="00AE1501" w:rsidP="00AE1501">
      <w:pPr>
        <w:pStyle w:val="Tekstpodstawowy"/>
        <w:jc w:val="both"/>
      </w:pPr>
    </w:p>
    <w:p w:rsidR="00AE1501" w:rsidRDefault="00AE1501" w:rsidP="00AE1501">
      <w:pPr>
        <w:pStyle w:val="Tekstpodstawowy"/>
        <w:jc w:val="both"/>
      </w:pPr>
    </w:p>
    <w:p w:rsidR="00AE1501" w:rsidRDefault="00AE1501" w:rsidP="00AE1501">
      <w:pPr>
        <w:pStyle w:val="Tekstpodstawowy"/>
        <w:jc w:val="both"/>
      </w:pPr>
    </w:p>
    <w:p w:rsidR="00AE1501" w:rsidRDefault="00AE1501" w:rsidP="00AE1501">
      <w:pPr>
        <w:pStyle w:val="Tekstpodstawowy"/>
        <w:jc w:val="center"/>
      </w:pPr>
      <w:r>
        <w:t>- 2 -</w:t>
      </w:r>
    </w:p>
    <w:p w:rsidR="00AE1501" w:rsidRDefault="00AE1501" w:rsidP="00AE1501">
      <w:pPr>
        <w:pStyle w:val="Tekstpodstawowy"/>
        <w:jc w:val="both"/>
      </w:pPr>
    </w:p>
    <w:p w:rsidR="00AE1501" w:rsidRDefault="00AE1501" w:rsidP="00AE1501">
      <w:pPr>
        <w:pStyle w:val="Tekstpodstawowy"/>
        <w:jc w:val="both"/>
      </w:pPr>
    </w:p>
    <w:p w:rsidR="00AE1501" w:rsidRDefault="00AE1501" w:rsidP="00AE1501">
      <w:pPr>
        <w:pStyle w:val="Tekstpodstawowy"/>
        <w:jc w:val="both"/>
        <w:rPr>
          <w:b w:val="0"/>
          <w:bCs w:val="0"/>
        </w:rPr>
      </w:pPr>
      <w:r>
        <w:t xml:space="preserve">7. </w:t>
      </w:r>
      <w:r>
        <w:rPr>
          <w:b w:val="0"/>
          <w:bCs w:val="0"/>
        </w:rPr>
        <w:t>Prawo odkupu przysługiwało będzie sprzedającemu w okresie 5 lat, od dnia zawarcia umowy sprzedaży.</w:t>
      </w:r>
    </w:p>
    <w:p w:rsidR="00AE1501" w:rsidRDefault="00AE1501" w:rsidP="00AE1501">
      <w:pPr>
        <w:pStyle w:val="Tekstpodstawowy"/>
        <w:jc w:val="both"/>
        <w:rPr>
          <w:b w:val="0"/>
          <w:bCs w:val="0"/>
        </w:rPr>
      </w:pPr>
      <w:r>
        <w:t>8.</w:t>
      </w:r>
      <w:r>
        <w:rPr>
          <w:b w:val="0"/>
          <w:bCs w:val="0"/>
        </w:rPr>
        <w:t xml:space="preserve"> Działka wpisana jest w zbiorczej księdze wieczystej </w:t>
      </w:r>
      <w:proofErr w:type="spellStart"/>
      <w:r>
        <w:rPr>
          <w:b w:val="0"/>
          <w:bCs w:val="0"/>
        </w:rPr>
        <w:t>Kw</w:t>
      </w:r>
      <w:proofErr w:type="spellEnd"/>
      <w:r>
        <w:rPr>
          <w:b w:val="0"/>
          <w:bCs w:val="0"/>
        </w:rPr>
        <w:t xml:space="preserve"> nr JG1B/00015122/9 – założonej dla obrębu 11 - prowadzonej przez V Wydział Ksiąg Wieczystych Sądu Rejonowego w Bolesławcu, bez obciążeń na rzecz osób trzecich.    </w:t>
      </w:r>
    </w:p>
    <w:p w:rsidR="00AE1501" w:rsidRDefault="00AE1501" w:rsidP="00AE1501">
      <w:pPr>
        <w:pStyle w:val="Tekstpodstawowy"/>
        <w:jc w:val="both"/>
        <w:rPr>
          <w:bCs w:val="0"/>
        </w:rPr>
      </w:pPr>
    </w:p>
    <w:p w:rsidR="00AE1501" w:rsidRDefault="00AE1501" w:rsidP="00AE1501">
      <w:pPr>
        <w:pStyle w:val="Tekstpodstawowy"/>
        <w:jc w:val="both"/>
        <w:rPr>
          <w:bCs w:val="0"/>
        </w:rPr>
      </w:pPr>
      <w:r>
        <w:rPr>
          <w:bCs w:val="0"/>
        </w:rPr>
        <w:t>9. Informacje dotyczące zbywanej nieruchomości oraz warunki realizacji zamierzeń inwestycyjnych:</w:t>
      </w:r>
    </w:p>
    <w:p w:rsidR="00AE1501" w:rsidRDefault="00AE1501" w:rsidP="00AE1501">
      <w:pPr>
        <w:pStyle w:val="Tekstpodstawowy"/>
        <w:tabs>
          <w:tab w:val="left" w:pos="2170"/>
        </w:tabs>
        <w:jc w:val="both"/>
        <w:rPr>
          <w:b w:val="0"/>
          <w:bCs w:val="0"/>
        </w:rPr>
      </w:pPr>
      <w:r>
        <w:rPr>
          <w:b w:val="0"/>
          <w:bCs w:val="0"/>
        </w:rPr>
        <w:t xml:space="preserve">- Gmina Miejska Bolesławiec jest w posiadaniu ekspertyzy geotechnicznej z której wynika, że działka znajduje się w obszarze zalewowym Złotego Strumienia. Funkcjonalność działki charakteryzuje się niejednorodnością geotechniczną: pod powierzchnią występują grunty nasypowe i rodzime mineralne. W podłożu geologicznym stwierdzono obecność wód gruntowych. Należy zakładać agresywny charakter wód gruntowych pod względem betonu, w związku z tym należy stosować antykorozyjne zabezpieczenia dla fundamentów i innych elementów betonowych, żelbetonowych narażonych na kontakt z wodami gruntowymi.    Przy projektowaniu budynku istnieje konieczność sporządzenia dokumentacji geologiczno - inżynierskiej. Dokumentację należy poprzedzić odpowiednim „ Projektem prac geologicznych”, który podlegać będzie zatwierdzeniu przez Starostwo Powiatowe                   w Bolesławcu. Z ekspertyzą geotechniczną można zapoznać się Wydziale Mienia                 i Gospodarki Przestrzennej.   </w:t>
      </w:r>
    </w:p>
    <w:p w:rsidR="00AE1501" w:rsidRDefault="00AE1501" w:rsidP="00AE1501">
      <w:pPr>
        <w:pStyle w:val="Tekstpodstawowy"/>
        <w:jc w:val="both"/>
        <w:rPr>
          <w:b w:val="0"/>
        </w:rPr>
      </w:pPr>
      <w:r>
        <w:rPr>
          <w:b w:val="0"/>
          <w:bCs w:val="0"/>
        </w:rPr>
        <w:t>- N</w:t>
      </w:r>
      <w:r>
        <w:rPr>
          <w:b w:val="0"/>
        </w:rPr>
        <w:t>abywca jest zobowiązany zapoznać się w terenie ze stanem zagospodarowania działki oraz po wylicytowaniu działki, na własny koszt uporządkować teren i przygotować do zabudowy.</w:t>
      </w:r>
    </w:p>
    <w:p w:rsidR="00AE1501" w:rsidRDefault="00AE1501" w:rsidP="00AE1501">
      <w:pPr>
        <w:pStyle w:val="Tekstpodstawowy"/>
        <w:jc w:val="both"/>
        <w:rPr>
          <w:b w:val="0"/>
        </w:rPr>
      </w:pPr>
      <w:r>
        <w:rPr>
          <w:b w:val="0"/>
        </w:rPr>
        <w:t>- Nabywca jest zobowiązany na własny koszt wykonać niezbędne dla projektowanej zabudowy, elementy uzbrojenia technicznego.</w:t>
      </w:r>
    </w:p>
    <w:p w:rsidR="00AE1501" w:rsidRDefault="00AE1501" w:rsidP="00AE1501">
      <w:pPr>
        <w:pStyle w:val="Tekstpodstawowy"/>
        <w:jc w:val="both"/>
        <w:rPr>
          <w:b w:val="0"/>
          <w:bCs w:val="0"/>
        </w:rPr>
      </w:pPr>
      <w:r>
        <w:rPr>
          <w:b w:val="0"/>
          <w:bCs w:val="0"/>
        </w:rPr>
        <w:t>- Projekt budowlany należy wykonać zgodnie z ustaleniami miejscowego planu zagospodarowania przestrzennego miasta Bolesławiec.</w:t>
      </w:r>
    </w:p>
    <w:p w:rsidR="00AE1501" w:rsidRDefault="00AE1501" w:rsidP="00AE1501">
      <w:pPr>
        <w:pStyle w:val="Tekstpodstawowy"/>
        <w:jc w:val="both"/>
        <w:rPr>
          <w:b w:val="0"/>
          <w:bCs w:val="0"/>
        </w:rPr>
      </w:pPr>
      <w:r>
        <w:rPr>
          <w:b w:val="0"/>
          <w:bCs w:val="0"/>
        </w:rPr>
        <w:t>- Przed wydaniem pozwolenia na budowę należy wystąpić do Starostwa Powiatowego                      w Bolesławcu Wydziału Ochrony Środowiska – celem uzyskania decyzji o wyłączeniu gruntu z produkcji rolnej.</w:t>
      </w:r>
    </w:p>
    <w:p w:rsidR="00AE1501" w:rsidRDefault="00AE1501" w:rsidP="00AE1501">
      <w:pPr>
        <w:pStyle w:val="Tekstpodstawowy"/>
        <w:jc w:val="both"/>
      </w:pPr>
    </w:p>
    <w:p w:rsidR="00AE1501" w:rsidRDefault="00AE1501" w:rsidP="00AE1501">
      <w:pPr>
        <w:pStyle w:val="Tekstpodstawowy"/>
        <w:jc w:val="both"/>
        <w:rPr>
          <w:b w:val="0"/>
          <w:bCs w:val="0"/>
        </w:rPr>
      </w:pPr>
      <w:r>
        <w:t>10.</w:t>
      </w:r>
      <w:r>
        <w:rPr>
          <w:b w:val="0"/>
          <w:bCs w:val="0"/>
        </w:rPr>
        <w:t xml:space="preserve"> Załącznikiem graficznym do wykazu – obwieszczenia jest opis i mapa, co ilustruje mapka w załączeniu, która dostępna jest w Wydziale Mienia i Gospodarki Przestrzennej.</w:t>
      </w:r>
    </w:p>
    <w:p w:rsidR="00AE1501" w:rsidRDefault="00AE1501" w:rsidP="00AE1501">
      <w:pPr>
        <w:pStyle w:val="Tekstpodstawowy"/>
        <w:jc w:val="both"/>
      </w:pPr>
    </w:p>
    <w:p w:rsidR="00AE1501" w:rsidRPr="008E07D3" w:rsidRDefault="00AE1501" w:rsidP="00AE1501">
      <w:pPr>
        <w:pStyle w:val="Tekstpodstawowy"/>
        <w:jc w:val="both"/>
        <w:rPr>
          <w:b w:val="0"/>
        </w:rPr>
      </w:pPr>
      <w:r>
        <w:t xml:space="preserve">11. </w:t>
      </w:r>
      <w:r>
        <w:rPr>
          <w:b w:val="0"/>
        </w:rPr>
        <w:t>W 29 kwietnia 2008r. bezskutecznie upłynął termin do złożenia wniosków przez osoby, którym przysługuje pierwszeństwo nabyciu ww. nieruchomości na podstawie art.34 ust.1 pkt.1 i pkt.2 ustawy z dnia 21 sierpnia 1997r. o gospodarce nieruchomościami (Dz. U. Nr 261 poz.2603 z 2004r. ze zm.)</w:t>
      </w:r>
    </w:p>
    <w:p w:rsidR="00AE1501" w:rsidRDefault="00AE1501" w:rsidP="00AE1501">
      <w:pPr>
        <w:pStyle w:val="Tekstpodstawowy"/>
        <w:jc w:val="both"/>
      </w:pPr>
    </w:p>
    <w:p w:rsidR="00AE1501" w:rsidRDefault="00AE1501" w:rsidP="00AE1501">
      <w:pPr>
        <w:pStyle w:val="Tekstpodstawowy"/>
        <w:jc w:val="both"/>
        <w:rPr>
          <w:b w:val="0"/>
          <w:bCs w:val="0"/>
        </w:rPr>
      </w:pPr>
      <w:r>
        <w:t>12.</w:t>
      </w:r>
      <w:r>
        <w:rPr>
          <w:b w:val="0"/>
          <w:bCs w:val="0"/>
        </w:rPr>
        <w:t xml:space="preserve"> Informacja o przetargu oraz warunki przetargu zostaną podane do publicznej wiadomości po 21 dniach od  podjęcia zarządzenia i podania niniejszego wykazu do publicznej wiadomości.</w:t>
      </w:r>
    </w:p>
    <w:p w:rsidR="00AE1501" w:rsidRDefault="00AE1501" w:rsidP="00AE1501">
      <w:pPr>
        <w:pStyle w:val="Tytu"/>
        <w:jc w:val="both"/>
        <w:rPr>
          <w:b w:val="0"/>
          <w:bCs w:val="0"/>
          <w:sz w:val="24"/>
        </w:rPr>
      </w:pPr>
      <w:r>
        <w:rPr>
          <w:b w:val="0"/>
          <w:bCs w:val="0"/>
          <w:sz w:val="24"/>
        </w:rPr>
        <w:t xml:space="preserve">DK/DK                                                          </w:t>
      </w:r>
    </w:p>
    <w:p w:rsidR="00AE1501" w:rsidRDefault="00AE1501" w:rsidP="00AE1501">
      <w:pPr>
        <w:pStyle w:val="Tytu"/>
        <w:jc w:val="both"/>
        <w:rPr>
          <w:b w:val="0"/>
          <w:bCs w:val="0"/>
          <w:sz w:val="24"/>
        </w:rPr>
      </w:pPr>
      <w:r>
        <w:rPr>
          <w:b w:val="0"/>
          <w:bCs w:val="0"/>
          <w:sz w:val="24"/>
        </w:rPr>
        <w:t xml:space="preserve">                                                                                PREZYDENT MIASTA</w:t>
      </w:r>
    </w:p>
    <w:p w:rsidR="00AE1501" w:rsidRDefault="00AE1501" w:rsidP="00AE1501">
      <w:pPr>
        <w:pStyle w:val="Tytu"/>
        <w:jc w:val="both"/>
        <w:rPr>
          <w:b w:val="0"/>
          <w:bCs w:val="0"/>
          <w:sz w:val="24"/>
        </w:rPr>
      </w:pPr>
      <w:r>
        <w:rPr>
          <w:b w:val="0"/>
          <w:bCs w:val="0"/>
          <w:sz w:val="24"/>
        </w:rPr>
        <w:t xml:space="preserve">                                                                                   /-/ Piotr Roman</w:t>
      </w:r>
    </w:p>
    <w:p w:rsidR="007A2745" w:rsidRDefault="007A2745"/>
    <w:sectPr w:rsidR="007A2745" w:rsidSect="007A274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5"/>
  <w:proofState w:spelling="clean"/>
  <w:defaultTabStop w:val="708"/>
  <w:hyphenationZone w:val="425"/>
  <w:characterSpacingControl w:val="doNotCompress"/>
  <w:compat/>
  <w:rsids>
    <w:rsidRoot w:val="00AE1501"/>
    <w:rsid w:val="003533BA"/>
    <w:rsid w:val="003B08EF"/>
    <w:rsid w:val="007A2745"/>
    <w:rsid w:val="00AE150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A274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AE1501"/>
    <w:pPr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AE1501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Tytu">
    <w:name w:val="Title"/>
    <w:basedOn w:val="Normalny"/>
    <w:link w:val="TytuZnak"/>
    <w:qFormat/>
    <w:rsid w:val="00AE1501"/>
    <w:pPr>
      <w:spacing w:after="0" w:line="240" w:lineRule="auto"/>
      <w:jc w:val="center"/>
    </w:pPr>
    <w:rPr>
      <w:rFonts w:ascii="Arial" w:eastAsia="Times New Roman" w:hAnsi="Arial" w:cs="Arial"/>
      <w:b/>
      <w:bCs/>
      <w:sz w:val="44"/>
      <w:szCs w:val="24"/>
      <w:lang w:eastAsia="pl-PL"/>
    </w:rPr>
  </w:style>
  <w:style w:type="character" w:customStyle="1" w:styleId="TytuZnak">
    <w:name w:val="Tytuł Znak"/>
    <w:basedOn w:val="Domylnaczcionkaakapitu"/>
    <w:link w:val="Tytu"/>
    <w:rsid w:val="00AE1501"/>
    <w:rPr>
      <w:rFonts w:ascii="Arial" w:eastAsia="Times New Roman" w:hAnsi="Arial" w:cs="Arial"/>
      <w:b/>
      <w:bCs/>
      <w:sz w:val="4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921</Words>
  <Characters>5526</Characters>
  <Application>Microsoft Office Word</Application>
  <DocSecurity>0</DocSecurity>
  <Lines>46</Lines>
  <Paragraphs>12</Paragraphs>
  <ScaleCrop>false</ScaleCrop>
  <Company/>
  <LinksUpToDate>false</LinksUpToDate>
  <CharactersWithSpaces>6435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KudraD</dc:creator>
  <cp:keywords/>
  <dc:description/>
  <cp:lastModifiedBy>KudraD</cp:lastModifiedBy>
  <cp:revision>2</cp:revision>
  <dcterms:created xsi:type="dcterms:W3CDTF">2009-02-26T08:01:00Z</dcterms:created>
  <dcterms:modified xsi:type="dcterms:W3CDTF">2009-02-26T08:13:00Z</dcterms:modified>
</cp:coreProperties>
</file>