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C512C7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</w:t>
      </w:r>
      <w:r w:rsidR="00A8507D">
        <w:rPr>
          <w:rFonts w:ascii="Book Antiqua" w:hAnsi="Book Antiqua"/>
          <w:color w:val="000000"/>
          <w:sz w:val="28"/>
        </w:rPr>
        <w:t xml:space="preserve"> </w:t>
      </w:r>
      <w:r w:rsidR="00613324">
        <w:rPr>
          <w:rFonts w:ascii="Book Antiqua" w:hAnsi="Book Antiqua"/>
          <w:color w:val="000000"/>
          <w:sz w:val="28"/>
        </w:rPr>
        <w:t xml:space="preserve"> </w:t>
      </w: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E860A1" w:rsidRDefault="00D720EE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6F4D5A">
        <w:rPr>
          <w:rFonts w:ascii="Book Antiqua" w:hAnsi="Book Antiqua"/>
          <w:b/>
          <w:bCs/>
          <w:color w:val="000000"/>
          <w:sz w:val="32"/>
        </w:rPr>
        <w:t>IV</w:t>
      </w:r>
      <w:r w:rsidR="007A080D">
        <w:rPr>
          <w:rFonts w:ascii="Book Antiqua" w:hAnsi="Book Antiqua"/>
          <w:b/>
          <w:bCs/>
          <w:color w:val="000000"/>
          <w:sz w:val="32"/>
        </w:rPr>
        <w:t xml:space="preserve"> sesji odbytej w dniu </w:t>
      </w:r>
      <w:r w:rsidR="00804784">
        <w:rPr>
          <w:rFonts w:ascii="Book Antiqua" w:hAnsi="Book Antiqua"/>
          <w:b/>
          <w:bCs/>
          <w:color w:val="000000"/>
          <w:sz w:val="32"/>
        </w:rPr>
        <w:t>2</w:t>
      </w:r>
      <w:r w:rsidR="006F4D5A">
        <w:rPr>
          <w:rFonts w:ascii="Book Antiqua" w:hAnsi="Book Antiqua"/>
          <w:b/>
          <w:bCs/>
          <w:color w:val="000000"/>
          <w:sz w:val="32"/>
        </w:rPr>
        <w:t>5 lutego</w:t>
      </w:r>
      <w:r w:rsidR="005F6321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7A080D">
        <w:rPr>
          <w:rFonts w:ascii="Book Antiqua" w:hAnsi="Book Antiqua"/>
          <w:b/>
          <w:bCs/>
          <w:color w:val="000000"/>
          <w:sz w:val="32"/>
        </w:rPr>
        <w:t>201</w:t>
      </w:r>
      <w:r w:rsidR="00DE20D6">
        <w:rPr>
          <w:rFonts w:ascii="Book Antiqua" w:hAnsi="Book Antiqua"/>
          <w:b/>
          <w:bCs/>
          <w:color w:val="000000"/>
          <w:sz w:val="32"/>
        </w:rPr>
        <w:t>5</w:t>
      </w:r>
      <w:r w:rsidR="007A080D">
        <w:rPr>
          <w:rFonts w:ascii="Book Antiqua" w:hAnsi="Book Antiqua"/>
          <w:b/>
          <w:bCs/>
          <w:color w:val="000000"/>
          <w:sz w:val="32"/>
        </w:rPr>
        <w:t xml:space="preserve"> r.</w:t>
      </w:r>
      <w:r w:rsidR="005F6321">
        <w:rPr>
          <w:rFonts w:ascii="Book Antiqua" w:hAnsi="Book Antiqua"/>
          <w:b/>
          <w:bCs/>
          <w:color w:val="000000"/>
          <w:sz w:val="32"/>
        </w:rPr>
        <w:t xml:space="preserve"> 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6F4D5A">
        <w:rPr>
          <w:rFonts w:ascii="Book Antiqua" w:hAnsi="Book Antiqua"/>
          <w:b/>
          <w:bCs/>
          <w:color w:val="000000"/>
        </w:rPr>
        <w:t>marzec</w:t>
      </w:r>
      <w:r w:rsidR="00DE20D6">
        <w:rPr>
          <w:rFonts w:ascii="Book Antiqua" w:hAnsi="Book Antiqua"/>
          <w:b/>
          <w:bCs/>
          <w:color w:val="000000"/>
        </w:rPr>
        <w:t xml:space="preserve"> </w:t>
      </w:r>
      <w:r w:rsidR="00CC7182">
        <w:rPr>
          <w:rFonts w:ascii="Book Antiqua" w:hAnsi="Book Antiqua"/>
          <w:b/>
          <w:bCs/>
          <w:color w:val="000000"/>
        </w:rPr>
        <w:t>201</w:t>
      </w:r>
      <w:r w:rsidR="00DE20D6">
        <w:rPr>
          <w:rFonts w:ascii="Book Antiqua" w:hAnsi="Book Antiqua"/>
          <w:b/>
          <w:bCs/>
          <w:color w:val="000000"/>
        </w:rPr>
        <w:t>5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5F6321" w:rsidRDefault="005F6321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5F6321" w:rsidRDefault="005F6321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6D2E8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Zgodnie z przepisami statutowymi </w:t>
      </w:r>
      <w:r w:rsidR="00D720EE">
        <w:rPr>
          <w:rFonts w:ascii="Book Antiqua" w:hAnsi="Book Antiqua"/>
          <w:color w:val="000000"/>
        </w:rPr>
        <w:t xml:space="preserve">Prezydent Miasta Bolesławiec przedkłada Wysokiej Radzie sprawozdanie z wykonania uchwał Rady Miasta podjętych na </w:t>
      </w:r>
      <w:r w:rsidR="00F013B1">
        <w:rPr>
          <w:rFonts w:ascii="Book Antiqua" w:hAnsi="Book Antiqua"/>
          <w:color w:val="000000"/>
        </w:rPr>
        <w:t>IV</w:t>
      </w:r>
      <w:r w:rsidR="00D720EE">
        <w:rPr>
          <w:rFonts w:ascii="Book Antiqua" w:hAnsi="Book Antiqua"/>
          <w:color w:val="000000"/>
        </w:rPr>
        <w:t xml:space="preserve"> sesji odbytej w dniu </w:t>
      </w:r>
      <w:r w:rsidR="00A52A40">
        <w:rPr>
          <w:rFonts w:ascii="Book Antiqua" w:hAnsi="Book Antiqua"/>
          <w:color w:val="000000"/>
        </w:rPr>
        <w:t>2</w:t>
      </w:r>
      <w:r w:rsidR="00F013B1">
        <w:rPr>
          <w:rFonts w:ascii="Book Antiqua" w:hAnsi="Book Antiqua"/>
          <w:color w:val="000000"/>
        </w:rPr>
        <w:t>5 lutego</w:t>
      </w:r>
      <w:r w:rsidR="006C6825">
        <w:rPr>
          <w:rFonts w:ascii="Book Antiqua" w:hAnsi="Book Antiqua"/>
          <w:color w:val="000000"/>
        </w:rPr>
        <w:t xml:space="preserve"> </w:t>
      </w:r>
      <w:r w:rsidR="00491376">
        <w:rPr>
          <w:rFonts w:ascii="Book Antiqua" w:hAnsi="Book Antiqua"/>
          <w:color w:val="000000"/>
        </w:rPr>
        <w:br/>
      </w:r>
      <w:r w:rsidR="00280E7B">
        <w:rPr>
          <w:rFonts w:ascii="Book Antiqua" w:hAnsi="Book Antiqua"/>
          <w:color w:val="000000"/>
        </w:rPr>
        <w:t>201</w:t>
      </w:r>
      <w:r w:rsidR="006C6825">
        <w:rPr>
          <w:rFonts w:ascii="Book Antiqua" w:hAnsi="Book Antiqua"/>
          <w:color w:val="000000"/>
        </w:rPr>
        <w:t>5</w:t>
      </w:r>
      <w:r w:rsidR="00D720EE">
        <w:rPr>
          <w:rFonts w:ascii="Book Antiqua" w:hAnsi="Book Antiqua"/>
          <w:color w:val="000000"/>
        </w:rPr>
        <w:t xml:space="preserve"> r.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C3786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</w:t>
      </w:r>
      <w:r w:rsidR="00D720EE">
        <w:rPr>
          <w:rFonts w:ascii="Book Antiqua" w:hAnsi="Book Antiqua"/>
          <w:color w:val="000000"/>
        </w:rPr>
        <w:t>w sesj</w:t>
      </w:r>
      <w:r w:rsidR="00E30B2C">
        <w:rPr>
          <w:rFonts w:ascii="Book Antiqua" w:hAnsi="Book Antiqua"/>
          <w:color w:val="000000"/>
        </w:rPr>
        <w:t>i</w:t>
      </w:r>
      <w:r w:rsidR="00D720EE">
        <w:rPr>
          <w:rFonts w:ascii="Book Antiqua" w:hAnsi="Book Antiqua"/>
          <w:color w:val="000000"/>
        </w:rPr>
        <w:t xml:space="preserve"> Rada Miasta podjęła </w:t>
      </w:r>
      <w:r w:rsidR="00F013B1">
        <w:rPr>
          <w:rFonts w:ascii="Book Antiqua" w:hAnsi="Book Antiqua"/>
          <w:color w:val="000000"/>
        </w:rPr>
        <w:t>11</w:t>
      </w:r>
      <w:r w:rsidR="00CA7A70">
        <w:rPr>
          <w:rFonts w:ascii="Book Antiqua" w:hAnsi="Book Antiqua"/>
          <w:color w:val="000000"/>
        </w:rPr>
        <w:t xml:space="preserve"> uchwał</w:t>
      </w:r>
      <w:r w:rsidR="00D720EE">
        <w:rPr>
          <w:rFonts w:ascii="Book Antiqua" w:hAnsi="Book Antiqua"/>
          <w:color w:val="000000"/>
        </w:rPr>
        <w:t>, które dotyczyły:</w:t>
      </w:r>
    </w:p>
    <w:p w:rsidR="00A57CFE" w:rsidRDefault="00B914E2" w:rsidP="00A57CFE">
      <w:pPr>
        <w:jc w:val="both"/>
      </w:pPr>
      <w:r>
        <w:rPr>
          <w:rFonts w:ascii="Book Antiqua" w:hAnsi="Book Antiqua"/>
        </w:rPr>
        <w:t xml:space="preserve">- </w:t>
      </w:r>
      <w:r w:rsidR="00F013B1">
        <w:rPr>
          <w:rFonts w:ascii="Book Antiqua" w:hAnsi="Book Antiqua"/>
        </w:rPr>
        <w:t>2</w:t>
      </w:r>
      <w:r w:rsidR="00CF234F">
        <w:rPr>
          <w:rFonts w:ascii="Book Antiqua" w:hAnsi="Book Antiqua"/>
        </w:rPr>
        <w:t xml:space="preserve"> – spraw finansowo-budżetowych</w:t>
      </w:r>
      <w:r w:rsidR="002224B3">
        <w:rPr>
          <w:rFonts w:ascii="Book Antiqua" w:hAnsi="Book Antiqua"/>
        </w:rPr>
        <w:t>,</w:t>
      </w:r>
      <w:r w:rsidR="00CF234F" w:rsidRPr="00CF234F">
        <w:t xml:space="preserve"> </w:t>
      </w:r>
    </w:p>
    <w:p w:rsidR="00F013B1" w:rsidRPr="00F013B1" w:rsidRDefault="00F013B1" w:rsidP="00A57CFE">
      <w:pPr>
        <w:jc w:val="both"/>
        <w:rPr>
          <w:rFonts w:ascii="Book Antiqua" w:hAnsi="Book Antiqua"/>
        </w:rPr>
      </w:pPr>
      <w:r>
        <w:t xml:space="preserve">- </w:t>
      </w:r>
      <w:r w:rsidRPr="00F013B1">
        <w:rPr>
          <w:rFonts w:ascii="Book Antiqua" w:hAnsi="Book Antiqua"/>
        </w:rPr>
        <w:t xml:space="preserve">1 – spraw </w:t>
      </w:r>
      <w:r>
        <w:rPr>
          <w:rFonts w:ascii="Book Antiqua" w:hAnsi="Book Antiqua"/>
        </w:rPr>
        <w:t>finansowych,</w:t>
      </w:r>
    </w:p>
    <w:p w:rsidR="00C11F55" w:rsidRDefault="00B914E2" w:rsidP="00A57C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F013B1">
        <w:rPr>
          <w:rFonts w:ascii="Book Antiqua" w:hAnsi="Book Antiqua"/>
        </w:rPr>
        <w:t>7 – spraw problemowych,</w:t>
      </w:r>
    </w:p>
    <w:p w:rsidR="00F013B1" w:rsidRDefault="00F013B1" w:rsidP="00A57C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- 1 – spraw organizacyjnych.</w:t>
      </w:r>
    </w:p>
    <w:p w:rsidR="005F6945" w:rsidRDefault="005F6945" w:rsidP="0058794E">
      <w:pPr>
        <w:pStyle w:val="Tekstpodstawowywcity2"/>
      </w:pPr>
    </w:p>
    <w:p w:rsidR="00973746" w:rsidRPr="00973746" w:rsidRDefault="00D720EE" w:rsidP="00973746">
      <w:pPr>
        <w:pStyle w:val="Tekstpodstawowywcity2"/>
      </w:pPr>
      <w:r>
        <w:t xml:space="preserve">Stosownie do przepisu art. 90 ustawy o </w:t>
      </w:r>
      <w:r w:rsidR="00154D7E">
        <w:t xml:space="preserve">samorządzie gminnym </w:t>
      </w:r>
      <w:r>
        <w:t>uchwał</w:t>
      </w:r>
      <w:r w:rsidR="00154D7E">
        <w:t>y</w:t>
      </w:r>
      <w:r>
        <w:t xml:space="preserve"> przesłano Woje</w:t>
      </w:r>
      <w:r w:rsidR="007A655F">
        <w:t>wodzie Dolnoślą</w:t>
      </w:r>
      <w:r w:rsidR="00F013B1">
        <w:t>skiemu, a uchwały finansowe i finansowo-budżetowe</w:t>
      </w:r>
      <w:r w:rsidR="006A5952">
        <w:t xml:space="preserve"> pr</w:t>
      </w:r>
      <w:r>
        <w:t xml:space="preserve">zekazano Regionalnej Izbie Obrachunkowej Zespołowi w Jeleniej Górze. </w:t>
      </w:r>
      <w:r w:rsidR="00973746" w:rsidRPr="00973746">
        <w:t xml:space="preserve">Ponadto </w:t>
      </w:r>
      <w:r w:rsidR="00F013B1">
        <w:t>6</w:t>
      </w:r>
      <w:r w:rsidR="00973746" w:rsidRPr="008057F9">
        <w:rPr>
          <w:color w:val="FF0000"/>
        </w:rPr>
        <w:t xml:space="preserve"> </w:t>
      </w:r>
      <w:r w:rsidR="00973746" w:rsidRPr="00973746">
        <w:t>uchwał przekazano do publikacji w Dzienniku Urzędowym Województwa Dolnośląskiego.</w:t>
      </w:r>
    </w:p>
    <w:p w:rsidR="007A655F" w:rsidRDefault="007A655F" w:rsidP="007A655F">
      <w:pPr>
        <w:pStyle w:val="Tekstpodstawowywcity2"/>
      </w:pPr>
    </w:p>
    <w:p w:rsidR="00D720EE" w:rsidRDefault="00D720EE" w:rsidP="00D720EE">
      <w:pPr>
        <w:pStyle w:val="Tekstpodstawowywcity2"/>
      </w:pPr>
    </w:p>
    <w:p w:rsidR="006C6825" w:rsidRDefault="006C6825" w:rsidP="00D720EE">
      <w:pPr>
        <w:pStyle w:val="Tekstpodstawowywcity2"/>
      </w:pPr>
    </w:p>
    <w:p w:rsidR="006C6825" w:rsidRDefault="006C6825" w:rsidP="00D720EE">
      <w:pPr>
        <w:pStyle w:val="Tekstpodstawowywcity2"/>
      </w:pPr>
    </w:p>
    <w:p w:rsidR="00D720EE" w:rsidRDefault="00D720EE" w:rsidP="00B07430">
      <w:pPr>
        <w:pStyle w:val="Tekstpodstawowywcity2"/>
      </w:pPr>
      <w:r>
        <w:t xml:space="preserve"> 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595E24" w:rsidRDefault="00D720EE" w:rsidP="00D720EE">
      <w:pPr>
        <w:ind w:left="708" w:firstLine="708"/>
        <w:rPr>
          <w:rStyle w:val="Hipercze"/>
          <w:rFonts w:ascii="Book Antiqua" w:hAnsi="Book Antiqua"/>
        </w:rPr>
      </w:pPr>
      <w:r>
        <w:rPr>
          <w:sz w:val="20"/>
          <w:szCs w:val="20"/>
        </w:rPr>
        <w:t xml:space="preserve">    </w:t>
      </w:r>
      <w:hyperlink r:id="rId9" w:history="1">
        <w:r>
          <w:rPr>
            <w:rStyle w:val="Hipercze"/>
            <w:rFonts w:ascii="Book Antiqua" w:hAnsi="Book Antiqua"/>
          </w:rPr>
          <w:t>http://www.um.boleslawiec.bip-gov.pl</w:t>
        </w:r>
      </w:hyperlink>
    </w:p>
    <w:p w:rsidR="00F10477" w:rsidRDefault="00F10477" w:rsidP="00F10477">
      <w:pPr>
        <w:rPr>
          <w:rStyle w:val="Hipercze"/>
          <w:rFonts w:ascii="Book Antiqua" w:hAnsi="Book Antiqua"/>
        </w:rPr>
      </w:pPr>
    </w:p>
    <w:p w:rsidR="00F10477" w:rsidRDefault="00F10477" w:rsidP="00F10477">
      <w:pPr>
        <w:rPr>
          <w:rStyle w:val="Hipercze"/>
          <w:rFonts w:ascii="Book Antiqua" w:hAnsi="Book Antiqua"/>
        </w:rPr>
      </w:pPr>
    </w:p>
    <w:p w:rsidR="00B8490F" w:rsidRDefault="00B8490F" w:rsidP="00D720EE">
      <w:pPr>
        <w:ind w:left="708" w:firstLine="708"/>
        <w:rPr>
          <w:rStyle w:val="Hipercze"/>
          <w:rFonts w:ascii="Book Antiqua" w:hAnsi="Book Antiqua"/>
        </w:rPr>
      </w:pPr>
    </w:p>
    <w:p w:rsidR="00B8490F" w:rsidRDefault="00B8490F" w:rsidP="00D720EE">
      <w:pPr>
        <w:ind w:left="708" w:firstLine="708"/>
        <w:rPr>
          <w:rStyle w:val="Hipercze"/>
          <w:rFonts w:ascii="Book Antiqua" w:hAnsi="Book Antiqua"/>
        </w:rPr>
      </w:pPr>
    </w:p>
    <w:p w:rsidR="00B8490F" w:rsidRDefault="00B8490F" w:rsidP="00D720EE">
      <w:pPr>
        <w:ind w:left="708" w:firstLine="708"/>
        <w:rPr>
          <w:rStyle w:val="Hipercze"/>
          <w:rFonts w:ascii="Book Antiqua" w:hAnsi="Book Antiqua"/>
        </w:rPr>
      </w:pPr>
    </w:p>
    <w:p w:rsidR="00A66E20" w:rsidRPr="009049C9" w:rsidRDefault="00A66E20" w:rsidP="00A66E20">
      <w:pPr>
        <w:ind w:left="10620"/>
        <w:rPr>
          <w:rFonts w:ascii="Book Antiqua" w:hAnsi="Book Antiqua"/>
        </w:rPr>
      </w:pPr>
      <w:r w:rsidRPr="009049C9">
        <w:rPr>
          <w:rFonts w:ascii="Book Antiqua" w:hAnsi="Book Antiqua"/>
        </w:rPr>
        <w:t>Prezydent Miasta</w:t>
      </w:r>
    </w:p>
    <w:p w:rsidR="00A66E20" w:rsidRPr="009049C9" w:rsidRDefault="00A66E20" w:rsidP="00A66E20">
      <w:pPr>
        <w:ind w:left="10620"/>
        <w:rPr>
          <w:rFonts w:ascii="Book Antiqua" w:hAnsi="Book Antiqua"/>
        </w:rPr>
      </w:pPr>
      <w:r w:rsidRPr="009049C9">
        <w:rPr>
          <w:rFonts w:ascii="Book Antiqua" w:hAnsi="Book Antiqua"/>
        </w:rPr>
        <w:t>/-/ Piotr Roman</w:t>
      </w: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720EE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041AE3">
        <w:trPr>
          <w:tblCellSpacing w:w="20" w:type="dxa"/>
        </w:trPr>
        <w:tc>
          <w:tcPr>
            <w:tcW w:w="713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A6CAA" w:rsidRPr="00C942AE" w:rsidTr="00632816">
        <w:trPr>
          <w:trHeight w:val="202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A6CAA" w:rsidRPr="005F3EA7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2A6CAA" w:rsidRPr="005F3EA7" w:rsidRDefault="006F4D5A" w:rsidP="006F4D5A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IV</w:t>
            </w:r>
            <w:r w:rsidR="00096D8B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DE20D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  <w:r w:rsidR="00096D8B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DE20D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72094B" w:rsidRPr="005F3EA7" w:rsidRDefault="00751F7A" w:rsidP="0072094B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Style w:val="StylBookAntiqua11pktKursywa"/>
                <w:szCs w:val="22"/>
              </w:rPr>
              <w:t>2</w:t>
            </w:r>
            <w:r w:rsidR="006F4D5A">
              <w:rPr>
                <w:rStyle w:val="StylBookAntiqua11pktKursywa"/>
                <w:szCs w:val="22"/>
              </w:rPr>
              <w:t>5</w:t>
            </w:r>
            <w:r w:rsidR="0072094B" w:rsidRPr="005F3EA7">
              <w:rPr>
                <w:rStyle w:val="StylBookAntiqua11pktKursywa"/>
                <w:szCs w:val="22"/>
              </w:rPr>
              <w:t>.</w:t>
            </w:r>
            <w:r w:rsidR="00096D8B">
              <w:rPr>
                <w:rStyle w:val="StylBookAntiqua11pktKursywa"/>
                <w:szCs w:val="22"/>
              </w:rPr>
              <w:t>0</w:t>
            </w:r>
            <w:r w:rsidR="006F4D5A">
              <w:rPr>
                <w:rStyle w:val="StylBookAntiqua11pktKursywa"/>
                <w:szCs w:val="22"/>
              </w:rPr>
              <w:t>2</w:t>
            </w:r>
            <w:r w:rsidR="0072094B" w:rsidRPr="005F3EA7">
              <w:rPr>
                <w:rStyle w:val="StylBookAntiqua11pktKursywa"/>
                <w:szCs w:val="22"/>
              </w:rPr>
              <w:t>.201</w:t>
            </w:r>
            <w:r w:rsidR="00DE20D6">
              <w:rPr>
                <w:rStyle w:val="StylBookAntiqua11pktKursywa"/>
                <w:szCs w:val="22"/>
              </w:rPr>
              <w:t>5</w:t>
            </w:r>
            <w:r w:rsidR="0072094B" w:rsidRPr="005F3EA7">
              <w:rPr>
                <w:rStyle w:val="StylBookAntiqua11pktKursywa"/>
                <w:szCs w:val="22"/>
              </w:rPr>
              <w:t xml:space="preserve"> r.</w:t>
            </w:r>
          </w:p>
          <w:p w:rsidR="002A6CAA" w:rsidRPr="005F3EA7" w:rsidRDefault="002A6CAA" w:rsidP="008248E3">
            <w:pPr>
              <w:jc w:val="center"/>
              <w:rPr>
                <w:rStyle w:val="StylBookAntiqua11pktKursywa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530D7A">
            <w:pPr>
              <w:rPr>
                <w:rStyle w:val="StylBookAntiqua11pktKursywa"/>
                <w:szCs w:val="22"/>
              </w:rPr>
            </w:pPr>
          </w:p>
          <w:p w:rsidR="00F13AE3" w:rsidRPr="008248E3" w:rsidRDefault="006F4D5A" w:rsidP="00DE20D6">
            <w:pPr>
              <w:rPr>
                <w:rStyle w:val="StylBookAntiqua11pktKursywa"/>
                <w:bCs/>
                <w:szCs w:val="22"/>
              </w:rPr>
            </w:pPr>
            <w:r w:rsidRPr="006F4D5A">
              <w:rPr>
                <w:rStyle w:val="StylBookAntiqua11pktKursywa"/>
                <w:bCs/>
                <w:szCs w:val="22"/>
              </w:rPr>
              <w:t>w sprawie przystąpienia do sporządzenia miejscowego planu zagospodarowania przestrzennego dla terenu zlokalizowanego</w:t>
            </w:r>
            <w:r>
              <w:rPr>
                <w:rStyle w:val="StylBookAntiqua11pktKursywa"/>
                <w:bCs/>
                <w:szCs w:val="22"/>
              </w:rPr>
              <w:t xml:space="preserve"> przy ul. Śluzowej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A6CAA" w:rsidRDefault="002A6CAA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A4063" w:rsidRPr="005F3EA7" w:rsidRDefault="0072094B" w:rsidP="00A7779C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</w:t>
            </w:r>
            <w:r w:rsidR="00E2413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Zostanie wyłoniony wykonawca do przeprowadzenia procedury planistycznej. </w:t>
            </w:r>
          </w:p>
        </w:tc>
      </w:tr>
      <w:tr w:rsidR="00804064" w:rsidRPr="00C942AE" w:rsidTr="001B0D68">
        <w:trPr>
          <w:trHeight w:val="168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04064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804064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6F4D5A" w:rsidP="006F4D5A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IV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DE20D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7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DE20D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F67666" w:rsidP="006F4D5A">
            <w:pPr>
              <w:jc w:val="center"/>
              <w:rPr>
                <w:rStyle w:val="StylBookAntiqua11pktKursywa"/>
                <w:szCs w:val="22"/>
              </w:rPr>
            </w:pP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6F4D5A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.0</w:t>
            </w:r>
            <w:r w:rsidR="006F4D5A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DE20D6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530D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F13AE3" w:rsidRDefault="006F4D5A" w:rsidP="004E6851">
            <w:pPr>
              <w:rPr>
                <w:rStyle w:val="StylBookAntiqua11pktKursywa"/>
                <w:szCs w:val="22"/>
              </w:rPr>
            </w:pPr>
            <w:r w:rsidRPr="006F4D5A">
              <w:rPr>
                <w:rStyle w:val="StylBookAntiqua11pktKursywa"/>
                <w:szCs w:val="22"/>
              </w:rPr>
              <w:t xml:space="preserve">w sprawie uchwalenia zmiany miejscowych planów zagospodarowania przestrzennego terenów zlokalizowanych: przy ulicy </w:t>
            </w:r>
            <w:r>
              <w:rPr>
                <w:rStyle w:val="StylBookAntiqua11pktKursywa"/>
                <w:szCs w:val="22"/>
              </w:rPr>
              <w:br/>
            </w:r>
            <w:r w:rsidRPr="006F4D5A">
              <w:rPr>
                <w:rStyle w:val="StylBookAntiqua11pktKursywa"/>
                <w:szCs w:val="22"/>
              </w:rPr>
              <w:t>I. Daszyńskiego, w rejonie ulicy Ogrodowej, przy Alei Tysiąclecia oraz w rejon</w:t>
            </w:r>
            <w:r>
              <w:rPr>
                <w:rStyle w:val="StylBookAntiqua11pktKursywa"/>
                <w:szCs w:val="22"/>
              </w:rPr>
              <w:t>ie ulicy B. Kosiby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804064" w:rsidRDefault="00804064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931DE" w:rsidRDefault="0072094B" w:rsidP="00F013B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</w:t>
            </w:r>
            <w:r w:rsidR="00E222E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w trybie nadzoru. </w:t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2015 r. uchwała została opublikowana 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Dzienniku Urzędowym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W</w:t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>ojewód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t>ztwa Dolnośląskiego pod pozycją 831.</w:t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Weszła w życie 1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t>7</w:t>
            </w:r>
            <w:r w:rsidR="00A7779C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marca 2015 r. </w:t>
            </w:r>
          </w:p>
        </w:tc>
      </w:tr>
      <w:tr w:rsidR="00751F7A" w:rsidRPr="00C942AE" w:rsidTr="00632816">
        <w:trPr>
          <w:trHeight w:val="202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51F7A" w:rsidRDefault="00751F7A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51F7A" w:rsidRDefault="00751F7A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F7A" w:rsidRDefault="00751F7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751F7A" w:rsidRDefault="00DE20D6" w:rsidP="006F4D5A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</w:t>
            </w:r>
            <w:r w:rsidR="006F4D5A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V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</w:t>
            </w:r>
            <w:r w:rsidR="006F4D5A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9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F7A" w:rsidRDefault="00751F7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751F7A" w:rsidRDefault="00F67666" w:rsidP="006F4D5A">
            <w:pPr>
              <w:jc w:val="center"/>
              <w:rPr>
                <w:rStyle w:val="StylBookAntiqua11pktKursywa"/>
                <w:szCs w:val="22"/>
              </w:rPr>
            </w:pP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6F4D5A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.0</w:t>
            </w:r>
            <w:r w:rsidR="006F4D5A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DE20D6">
              <w:rPr>
                <w:rFonts w:ascii="Book Antiqua" w:hAnsi="Book Antiqua"/>
                <w:i/>
                <w:iCs/>
                <w:sz w:val="22"/>
                <w:szCs w:val="22"/>
              </w:rPr>
              <w:t>5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E3" w:rsidRDefault="00F13AE3" w:rsidP="007D5F33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6F4D5A" w:rsidRPr="006F4D5A" w:rsidRDefault="006F4D5A" w:rsidP="006F4D5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6F4D5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 sprawie usług opiekuńczych </w:t>
            </w:r>
          </w:p>
          <w:p w:rsidR="00060C95" w:rsidRDefault="006F4D5A" w:rsidP="006F4D5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6F4D5A">
              <w:rPr>
                <w:rFonts w:ascii="Book Antiqua" w:hAnsi="Book Antiqua"/>
                <w:i/>
                <w:iCs/>
                <w:sz w:val="22"/>
                <w:szCs w:val="22"/>
              </w:rPr>
              <w:t>i specj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alistycznych usług opiekuńczych z wyłączeniem specjalistycznych usług opiekuńczych dla osób z zaburzeniami psychicznymi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51F7A" w:rsidRDefault="00751F7A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E20D6" w:rsidRDefault="00751F7A" w:rsidP="007D5F3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751F7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 w:rsidR="00AF458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2015 r. uchwała została opublikowana 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Dzienniku Urzędowym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W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t>ojewództwa Dolnośląskiego pod pozycją 800. Weszła w życie 1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t>7</w:t>
            </w:r>
            <w:r w:rsidR="003309F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marca 2015 r.</w:t>
            </w:r>
          </w:p>
          <w:p w:rsidR="00DE20D6" w:rsidRDefault="00DE20D6" w:rsidP="007D5F3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E20D6" w:rsidRDefault="00DE20D6" w:rsidP="007D5F3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E20D6" w:rsidRDefault="00DE20D6" w:rsidP="007D5F33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E144C5" w:rsidRPr="00E918F6" w:rsidTr="006C1CEB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E144C5" w:rsidRPr="009A40B7" w:rsidTr="006C1CEB">
        <w:trPr>
          <w:tblCellSpacing w:w="20" w:type="dxa"/>
        </w:trPr>
        <w:tc>
          <w:tcPr>
            <w:tcW w:w="713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E144C5" w:rsidTr="008979A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Pr="00751F7A" w:rsidRDefault="00E144C5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Pr="00751F7A" w:rsidRDefault="00751F7A" w:rsidP="00E144C5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751F7A">
              <w:rPr>
                <w:rFonts w:ascii="Book Antiqua" w:hAnsi="Book Antiqua"/>
                <w:i/>
                <w:sz w:val="22"/>
                <w:szCs w:val="22"/>
              </w:rPr>
              <w:t>4</w:t>
            </w:r>
            <w:r w:rsidR="00E144C5"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751F7A" w:rsidRDefault="00E144C5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Pr="00751F7A" w:rsidRDefault="00DE20D6" w:rsidP="006F4D5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="006F4D5A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="00362CE1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6F4D5A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40</w:t>
            </w:r>
            <w:r w:rsidR="00362CE1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Default="00362CE1" w:rsidP="006F4D5A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6F4D5A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6F4D5A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 w:rsidR="00A904A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D242F2" w:rsidRDefault="00E144C5" w:rsidP="00D242F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E144C5" w:rsidRPr="009046BE" w:rsidRDefault="006F4D5A" w:rsidP="00751DEB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zasad zwrotu wydatków na usługi, pomoc </w:t>
            </w:r>
            <w:r w:rsidR="00AF5F82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rzeczową, zasiłki na ekonomiczne usamodzielnienie, zasiłki okresowe i zasiłki celowe 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2094B" w:rsidRDefault="0072094B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26119" w:rsidRDefault="0072094B" w:rsidP="00626119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 w:rsidR="00D242F2">
              <w:rPr>
                <w:rFonts w:ascii="Book Antiqua" w:hAnsi="Book Antiqua"/>
                <w:i/>
                <w:color w:val="000000"/>
                <w:sz w:val="22"/>
                <w:szCs w:val="22"/>
              </w:rPr>
              <w:t>zany Wojewodzie Dolnośląskiemu</w:t>
            </w:r>
            <w:r w:rsidR="00114BAE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w trybie nadzoru. 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2015 r. uchwała została opublikowana 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Dzienniku Urzędowym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W</w:t>
            </w:r>
            <w:r w:rsidR="00626119">
              <w:rPr>
                <w:rFonts w:ascii="Book Antiqua" w:hAnsi="Book Antiqua"/>
                <w:i/>
                <w:color w:val="000000"/>
                <w:sz w:val="22"/>
                <w:szCs w:val="22"/>
              </w:rPr>
              <w:t>ojewództwa Dolnośląskiego pod pozycją 801. Weszła w życie 17 marca 2015 r.</w:t>
            </w:r>
          </w:p>
          <w:p w:rsidR="00AF5F82" w:rsidRDefault="00AF5F82" w:rsidP="00AF5F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AF5F82" w:rsidTr="008979A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751F7A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Pr="00751F7A" w:rsidRDefault="00AF5F82" w:rsidP="00AF5F8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41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D242F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D242F2" w:rsidRDefault="00AF5F82" w:rsidP="00D242F2">
            <w:pPr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w sprawie sposobu sprawienia pogrzebu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AF5F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Uchwała weszła w życie z dniem podjęcia. </w:t>
            </w:r>
          </w:p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F5F82" w:rsidRDefault="00AF5F82">
      <w:r>
        <w:br w:type="page"/>
      </w: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AF5F82" w:rsidRPr="00E918F6" w:rsidTr="00E86B92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AF5F82" w:rsidRPr="00E918F6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AF5F82" w:rsidRPr="009A40B7" w:rsidTr="00E86B92">
        <w:trPr>
          <w:tblCellSpacing w:w="20" w:type="dxa"/>
        </w:trPr>
        <w:tc>
          <w:tcPr>
            <w:tcW w:w="713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F5F82" w:rsidTr="008979A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6.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Pr="00751F7A" w:rsidRDefault="00AF5F82" w:rsidP="00AF5F8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42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D242F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AF5F82">
              <w:rPr>
                <w:rFonts w:ascii="Book Antiqua" w:hAnsi="Book Antiqua"/>
                <w:i/>
                <w:sz w:val="22"/>
                <w:szCs w:val="22"/>
              </w:rPr>
              <w:t>w sprawie określenia kryteriów obowiązujących na drugim etapie postępowania rekrutacyjnego do przedszkoli publicznych na terenie Gminy Miejskiej Bolesławiec, określenia dokumentów niezbędnych do potwierdzenia spełnienia kryteriów oraz przyznania liczby punkt</w:t>
            </w:r>
            <w:r>
              <w:rPr>
                <w:rFonts w:ascii="Book Antiqua" w:hAnsi="Book Antiqua"/>
                <w:i/>
                <w:sz w:val="22"/>
                <w:szCs w:val="22"/>
              </w:rPr>
              <w:t>ów dla poszczególnych kryteriów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013B1" w:rsidRDefault="00AF5F82" w:rsidP="00F013B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2015 r. uchwała została opublikowana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w Dzienniku Urzędowym Województwa Dolnośląskiego pod pozycją 802. Weszła w życie 17 marca 2015 r.</w:t>
            </w: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AF5F82" w:rsidTr="008979A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7.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IV/43/2015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AF5F82">
              <w:rPr>
                <w:rFonts w:ascii="Book Antiqua" w:hAnsi="Book Antiqua"/>
                <w:i/>
                <w:sz w:val="22"/>
                <w:szCs w:val="22"/>
              </w:rPr>
              <w:t xml:space="preserve">w sprawie wysokości oraz szczegółowych warunków, trybu przyznawania i zwrotu zasiłku celowego </w:t>
            </w:r>
            <w:r>
              <w:rPr>
                <w:rFonts w:ascii="Book Antiqua" w:hAnsi="Book Antiqua"/>
                <w:i/>
                <w:sz w:val="22"/>
                <w:szCs w:val="22"/>
              </w:rPr>
              <w:t>na ekonomiczne usamodzielnienie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AF5F8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2015 r. uchwała została opublikowana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Dzienniku Urzędowym Województwa Dolnośląskiego pod pozycją 803. Weszła w życie 17 marca 2015 r. </w:t>
            </w: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BA4887" w:rsidRDefault="00BA4887" w:rsidP="00CF234F">
      <w:pPr>
        <w:rPr>
          <w:sz w:val="20"/>
          <w:szCs w:val="20"/>
        </w:rPr>
      </w:pPr>
    </w:p>
    <w:p w:rsidR="00AF5F82" w:rsidRDefault="00AF5F82" w:rsidP="00CF234F">
      <w:pPr>
        <w:rPr>
          <w:sz w:val="20"/>
          <w:szCs w:val="20"/>
        </w:rPr>
      </w:pPr>
    </w:p>
    <w:p w:rsidR="00AF5F82" w:rsidRDefault="00AF5F82" w:rsidP="00CF234F">
      <w:pPr>
        <w:rPr>
          <w:sz w:val="20"/>
          <w:szCs w:val="20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AF5F82" w:rsidRPr="00E918F6" w:rsidTr="00E86B92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AF5F82" w:rsidRPr="00E918F6" w:rsidRDefault="00AF5F82" w:rsidP="00E86B9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AF5F82" w:rsidRPr="00E918F6" w:rsidRDefault="00AF5F82" w:rsidP="00E86B9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AF5F82" w:rsidRPr="009A40B7" w:rsidTr="00E86B92">
        <w:trPr>
          <w:tblCellSpacing w:w="20" w:type="dxa"/>
        </w:trPr>
        <w:tc>
          <w:tcPr>
            <w:tcW w:w="713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AF5F82" w:rsidRPr="009A40B7" w:rsidRDefault="00AF5F82" w:rsidP="00E86B9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F5F82" w:rsidTr="00E86B92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Pr="00751F7A" w:rsidRDefault="00AF5F82" w:rsidP="00AF5F8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44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D242F2" w:rsidRDefault="00181711" w:rsidP="00AF5F82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81711">
              <w:rPr>
                <w:rFonts w:ascii="Book Antiqua" w:hAnsi="Book Antiqua"/>
                <w:i/>
                <w:sz w:val="22"/>
                <w:szCs w:val="22"/>
              </w:rPr>
              <w:t>w sprawie utworzenia na obszarze miasta Bolesławiec odrębnych obwodów głosowania w wyborach Prezydenta Rzeczypospolitej Polskiej, zarządzonych na dzień 10 maja 2015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013B1" w:rsidRDefault="00AF5F82" w:rsidP="00F013B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 marca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2015 r. uchwała została opublikowana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w Dzienniku Urzędowym Województwa Dolnośląskiego pod pozycją 804. Weszła w życie 17 marca 2015 r. </w:t>
            </w:r>
          </w:p>
          <w:p w:rsidR="00181711" w:rsidRDefault="0018171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AF5F82" w:rsidTr="00E86B92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9.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Default="00AF5F82" w:rsidP="00AF5F8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IV/45/2015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F5F82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181711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81711">
              <w:rPr>
                <w:rFonts w:ascii="Book Antiqua" w:hAnsi="Book Antiqua"/>
                <w:i/>
                <w:sz w:val="22"/>
                <w:szCs w:val="22"/>
              </w:rPr>
              <w:t>w sprawie zmiany Wieloletniej Prognozy Finansowej Gminy Miejskie</w:t>
            </w:r>
            <w:r>
              <w:rPr>
                <w:rFonts w:ascii="Book Antiqua" w:hAnsi="Book Antiqua"/>
                <w:i/>
                <w:sz w:val="22"/>
                <w:szCs w:val="22"/>
              </w:rPr>
              <w:t>j Bolesławiec na lata 2015-2024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</w:t>
            </w:r>
            <w:r w:rsidR="0018171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trybie nadzoru. </w:t>
            </w:r>
          </w:p>
          <w:p w:rsidR="00F013B1" w:rsidRDefault="00F013B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F5F82" w:rsidRDefault="00AF5F82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F013B1" w:rsidTr="00E86B92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F013B1" w:rsidRDefault="00F013B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F013B1" w:rsidRDefault="00F013B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10.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Default="00F013B1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F013B1" w:rsidRDefault="00F013B1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Default="00F013B1" w:rsidP="00E86B92">
            <w:pPr>
              <w:jc w:val="center"/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</w:pPr>
          </w:p>
          <w:p w:rsidR="00F013B1" w:rsidRDefault="00F013B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Default="00F013B1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F013B1" w:rsidRDefault="00F013B1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w sprawie zaciągnięcia kredytu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F013B1" w:rsidRDefault="00F013B1" w:rsidP="00F013B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013B1" w:rsidRDefault="00F013B1" w:rsidP="00F013B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oraz Regionalnej Izbie Obrachunkowej w trybie nadzoru. Uchwałę wykonano. 4 marca 2015 r. została zawarta umowa kredytu.  </w:t>
            </w:r>
          </w:p>
          <w:p w:rsidR="00F013B1" w:rsidRDefault="00F013B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F5F82" w:rsidRDefault="00AF5F82" w:rsidP="00CF234F">
      <w:pPr>
        <w:rPr>
          <w:sz w:val="20"/>
          <w:szCs w:val="20"/>
        </w:rPr>
      </w:pPr>
    </w:p>
    <w:p w:rsidR="00AF5F82" w:rsidRDefault="00AF5F82" w:rsidP="00CF234F">
      <w:pPr>
        <w:rPr>
          <w:sz w:val="20"/>
          <w:szCs w:val="20"/>
        </w:rPr>
      </w:pPr>
    </w:p>
    <w:p w:rsidR="00F013B1" w:rsidRDefault="00F013B1" w:rsidP="00CF234F">
      <w:pPr>
        <w:rPr>
          <w:sz w:val="20"/>
          <w:szCs w:val="20"/>
        </w:rPr>
      </w:pPr>
    </w:p>
    <w:p w:rsidR="00F013B1" w:rsidRDefault="00F013B1" w:rsidP="00CF234F">
      <w:pPr>
        <w:rPr>
          <w:sz w:val="20"/>
          <w:szCs w:val="20"/>
        </w:rPr>
      </w:pPr>
    </w:p>
    <w:p w:rsidR="00F013B1" w:rsidRDefault="00F013B1" w:rsidP="00CF234F">
      <w:pPr>
        <w:rPr>
          <w:sz w:val="20"/>
          <w:szCs w:val="20"/>
        </w:rPr>
      </w:pPr>
    </w:p>
    <w:p w:rsidR="00F013B1" w:rsidRDefault="00F013B1" w:rsidP="00CF234F">
      <w:pPr>
        <w:rPr>
          <w:sz w:val="20"/>
          <w:szCs w:val="20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F013B1" w:rsidRPr="00E918F6" w:rsidTr="004A2D57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3B1" w:rsidRDefault="00F013B1" w:rsidP="004A2D5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F013B1" w:rsidRPr="00E918F6" w:rsidRDefault="00F013B1" w:rsidP="004A2D57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F013B1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F013B1" w:rsidRPr="00E918F6" w:rsidRDefault="00F013B1" w:rsidP="004A2D57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F013B1" w:rsidRPr="009A40B7" w:rsidTr="004A2D57">
        <w:trPr>
          <w:tblCellSpacing w:w="20" w:type="dxa"/>
        </w:trPr>
        <w:tc>
          <w:tcPr>
            <w:tcW w:w="713" w:type="dxa"/>
          </w:tcPr>
          <w:p w:rsidR="00F013B1" w:rsidRPr="009A40B7" w:rsidRDefault="00F013B1" w:rsidP="004A2D5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F013B1" w:rsidRPr="009A40B7" w:rsidRDefault="00F013B1" w:rsidP="004A2D5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F013B1" w:rsidRPr="009A40B7" w:rsidRDefault="00F013B1" w:rsidP="004A2D5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F013B1" w:rsidRPr="009A40B7" w:rsidRDefault="00F013B1" w:rsidP="004A2D5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F013B1" w:rsidRPr="009A40B7" w:rsidRDefault="00F013B1" w:rsidP="004A2D57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181711" w:rsidTr="00E86B92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181711" w:rsidRDefault="0018171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181711" w:rsidRDefault="0018171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11.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11" w:rsidRDefault="00181711" w:rsidP="00E86B92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181711" w:rsidRDefault="00181711" w:rsidP="00181711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IV/47/2015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11" w:rsidRDefault="0018171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181711" w:rsidRDefault="00181711" w:rsidP="00E86B9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11" w:rsidRDefault="00181711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181711" w:rsidRDefault="00181711" w:rsidP="00E86B92">
            <w:pPr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w sprawie zmian w budżecie miasta na 2015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181711" w:rsidRDefault="0018171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81711" w:rsidRDefault="0018171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oraz Regionalnej Izbie </w:t>
            </w:r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Obrachunkowej w trybie nadzoru. Naniesiono zmiany w planach finansowych dochodów i wydatków do programów SIGID, </w:t>
            </w:r>
            <w:proofErr w:type="spellStart"/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Besti</w:t>
            </w:r>
            <w:proofErr w:type="spellEnd"/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@ i </w:t>
            </w:r>
            <w:proofErr w:type="spellStart"/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PlanB</w:t>
            </w:r>
            <w:proofErr w:type="spellEnd"/>
            <w:r w:rsidR="00F013B1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  <w:p w:rsidR="00181711" w:rsidRDefault="0018171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81711" w:rsidRDefault="00181711" w:rsidP="00E86B9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AF5F82" w:rsidRDefault="00AF5F82" w:rsidP="00CF234F">
      <w:pPr>
        <w:rPr>
          <w:sz w:val="20"/>
          <w:szCs w:val="20"/>
        </w:rPr>
      </w:pPr>
    </w:p>
    <w:p w:rsidR="00AF5F82" w:rsidRDefault="00AF5F82" w:rsidP="00CF234F">
      <w:pPr>
        <w:rPr>
          <w:sz w:val="20"/>
          <w:szCs w:val="20"/>
        </w:rPr>
      </w:pPr>
    </w:p>
    <w:p w:rsidR="00CF234F" w:rsidRDefault="00CF234F" w:rsidP="00CF234F">
      <w:pPr>
        <w:rPr>
          <w:sz w:val="20"/>
          <w:szCs w:val="20"/>
        </w:rPr>
      </w:pPr>
      <w:r w:rsidRPr="0074787E">
        <w:rPr>
          <w:sz w:val="20"/>
          <w:szCs w:val="20"/>
        </w:rPr>
        <w:t>MZ/MZ</w:t>
      </w:r>
    </w:p>
    <w:p w:rsidR="00B8490F" w:rsidRDefault="00B8490F" w:rsidP="00CF234F">
      <w:pPr>
        <w:rPr>
          <w:sz w:val="20"/>
          <w:szCs w:val="20"/>
        </w:rPr>
      </w:pPr>
    </w:p>
    <w:p w:rsidR="00A66E20" w:rsidRDefault="00A66E20" w:rsidP="00CF234F">
      <w:pPr>
        <w:rPr>
          <w:sz w:val="20"/>
          <w:szCs w:val="20"/>
        </w:rPr>
      </w:pPr>
    </w:p>
    <w:p w:rsidR="00A66E20" w:rsidRDefault="00A66E20" w:rsidP="00CF234F">
      <w:pPr>
        <w:rPr>
          <w:sz w:val="20"/>
          <w:szCs w:val="20"/>
        </w:rPr>
      </w:pPr>
    </w:p>
    <w:p w:rsidR="00A66E20" w:rsidRPr="009049C9" w:rsidRDefault="00A66E20" w:rsidP="00A66E20">
      <w:pPr>
        <w:ind w:left="10620"/>
        <w:rPr>
          <w:rFonts w:ascii="Book Antiqua" w:hAnsi="Book Antiqua"/>
        </w:rPr>
      </w:pPr>
      <w:r w:rsidRPr="009049C9">
        <w:rPr>
          <w:rFonts w:ascii="Book Antiqua" w:hAnsi="Book Antiqua"/>
        </w:rPr>
        <w:t>Prezydent Miasta</w:t>
      </w:r>
    </w:p>
    <w:p w:rsidR="00A66E20" w:rsidRPr="009049C9" w:rsidRDefault="00A66E20" w:rsidP="00A66E20">
      <w:pPr>
        <w:ind w:left="10620"/>
        <w:rPr>
          <w:rFonts w:ascii="Book Antiqua" w:hAnsi="Book Antiqua"/>
        </w:rPr>
      </w:pPr>
      <w:r w:rsidRPr="009049C9">
        <w:rPr>
          <w:rFonts w:ascii="Book Antiqua" w:hAnsi="Book Antiqua"/>
        </w:rPr>
        <w:t>/-/ Piotr Roman</w:t>
      </w:r>
    </w:p>
    <w:p w:rsidR="00A66E20" w:rsidRDefault="00A66E20" w:rsidP="00CF234F">
      <w:pPr>
        <w:rPr>
          <w:sz w:val="20"/>
          <w:szCs w:val="20"/>
        </w:rPr>
      </w:pPr>
      <w:bookmarkStart w:id="0" w:name="_GoBack"/>
      <w:bookmarkEnd w:id="0"/>
    </w:p>
    <w:sectPr w:rsidR="00A66E20" w:rsidSect="00D720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FA" w:rsidRDefault="009D6DFA" w:rsidP="00545A46">
      <w:r>
        <w:separator/>
      </w:r>
    </w:p>
  </w:endnote>
  <w:endnote w:type="continuationSeparator" w:id="0">
    <w:p w:rsidR="009D6DFA" w:rsidRDefault="009D6DFA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9127"/>
      <w:docPartObj>
        <w:docPartGallery w:val="Page Numbers (Bottom of Page)"/>
        <w:docPartUnique/>
      </w:docPartObj>
    </w:sdtPr>
    <w:sdtEndPr/>
    <w:sdtContent>
      <w:p w:rsidR="006C1CEB" w:rsidRDefault="006C1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E20">
          <w:rPr>
            <w:noProof/>
          </w:rPr>
          <w:t>7</w:t>
        </w:r>
        <w:r>
          <w:fldChar w:fldCharType="end"/>
        </w:r>
      </w:p>
    </w:sdtContent>
  </w:sdt>
  <w:p w:rsidR="006C1CEB" w:rsidRDefault="006C1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FA" w:rsidRDefault="009D6DFA" w:rsidP="00545A46">
      <w:r>
        <w:separator/>
      </w:r>
    </w:p>
  </w:footnote>
  <w:footnote w:type="continuationSeparator" w:id="0">
    <w:p w:rsidR="009D6DFA" w:rsidRDefault="009D6DFA" w:rsidP="005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E9E"/>
    <w:multiLevelType w:val="hybridMultilevel"/>
    <w:tmpl w:val="E7B23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5745"/>
    <w:multiLevelType w:val="hybridMultilevel"/>
    <w:tmpl w:val="014E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77F2"/>
    <w:multiLevelType w:val="hybridMultilevel"/>
    <w:tmpl w:val="4F8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22F1"/>
    <w:rsid w:val="000151AC"/>
    <w:rsid w:val="000203A9"/>
    <w:rsid w:val="00021A7B"/>
    <w:rsid w:val="00021F35"/>
    <w:rsid w:val="000227D8"/>
    <w:rsid w:val="0002336C"/>
    <w:rsid w:val="000247A2"/>
    <w:rsid w:val="000254F2"/>
    <w:rsid w:val="00027C58"/>
    <w:rsid w:val="00027D8A"/>
    <w:rsid w:val="00040896"/>
    <w:rsid w:val="00041AE3"/>
    <w:rsid w:val="000441A9"/>
    <w:rsid w:val="00060C95"/>
    <w:rsid w:val="00061899"/>
    <w:rsid w:val="000762AA"/>
    <w:rsid w:val="00077683"/>
    <w:rsid w:val="00081507"/>
    <w:rsid w:val="000822CC"/>
    <w:rsid w:val="00085A73"/>
    <w:rsid w:val="0009005E"/>
    <w:rsid w:val="00090B42"/>
    <w:rsid w:val="00091A20"/>
    <w:rsid w:val="00096D8B"/>
    <w:rsid w:val="00097F5B"/>
    <w:rsid w:val="000A1075"/>
    <w:rsid w:val="000A374F"/>
    <w:rsid w:val="000B0C23"/>
    <w:rsid w:val="000B36D4"/>
    <w:rsid w:val="000B44DD"/>
    <w:rsid w:val="000C0667"/>
    <w:rsid w:val="000C155C"/>
    <w:rsid w:val="000C3664"/>
    <w:rsid w:val="000C4F90"/>
    <w:rsid w:val="000C5F5E"/>
    <w:rsid w:val="000C6957"/>
    <w:rsid w:val="000C72B0"/>
    <w:rsid w:val="000D31A5"/>
    <w:rsid w:val="000D4F25"/>
    <w:rsid w:val="000D7533"/>
    <w:rsid w:val="000E0FFC"/>
    <w:rsid w:val="000E1EA6"/>
    <w:rsid w:val="000E5112"/>
    <w:rsid w:val="000E68E9"/>
    <w:rsid w:val="000F1492"/>
    <w:rsid w:val="000F4641"/>
    <w:rsid w:val="000F568A"/>
    <w:rsid w:val="000F5F98"/>
    <w:rsid w:val="000F6EB5"/>
    <w:rsid w:val="001050F9"/>
    <w:rsid w:val="00112894"/>
    <w:rsid w:val="001129EA"/>
    <w:rsid w:val="00114BAE"/>
    <w:rsid w:val="0011709F"/>
    <w:rsid w:val="001241A1"/>
    <w:rsid w:val="0013042E"/>
    <w:rsid w:val="00131DED"/>
    <w:rsid w:val="001336CE"/>
    <w:rsid w:val="00135930"/>
    <w:rsid w:val="00140BCA"/>
    <w:rsid w:val="00143CDD"/>
    <w:rsid w:val="00154D7E"/>
    <w:rsid w:val="00163296"/>
    <w:rsid w:val="001648AD"/>
    <w:rsid w:val="00166951"/>
    <w:rsid w:val="00166B51"/>
    <w:rsid w:val="00166EE0"/>
    <w:rsid w:val="00170EF5"/>
    <w:rsid w:val="00175DF6"/>
    <w:rsid w:val="00180EFC"/>
    <w:rsid w:val="00181711"/>
    <w:rsid w:val="0018375C"/>
    <w:rsid w:val="00186718"/>
    <w:rsid w:val="00191A6B"/>
    <w:rsid w:val="00193AA9"/>
    <w:rsid w:val="001941B7"/>
    <w:rsid w:val="0019729A"/>
    <w:rsid w:val="001A77FF"/>
    <w:rsid w:val="001A7C14"/>
    <w:rsid w:val="001B0D68"/>
    <w:rsid w:val="001B4D6C"/>
    <w:rsid w:val="001C1B9A"/>
    <w:rsid w:val="001C3806"/>
    <w:rsid w:val="001C4D5A"/>
    <w:rsid w:val="001C5889"/>
    <w:rsid w:val="001C7604"/>
    <w:rsid w:val="001D5D97"/>
    <w:rsid w:val="001D7E1B"/>
    <w:rsid w:val="001D7EDA"/>
    <w:rsid w:val="001E28D5"/>
    <w:rsid w:val="001E44D2"/>
    <w:rsid w:val="001E702D"/>
    <w:rsid w:val="001E79F6"/>
    <w:rsid w:val="001F5964"/>
    <w:rsid w:val="00214141"/>
    <w:rsid w:val="00220621"/>
    <w:rsid w:val="002223B0"/>
    <w:rsid w:val="002224B3"/>
    <w:rsid w:val="0022537F"/>
    <w:rsid w:val="002410A2"/>
    <w:rsid w:val="00241E53"/>
    <w:rsid w:val="0024227D"/>
    <w:rsid w:val="002423EF"/>
    <w:rsid w:val="00244CFE"/>
    <w:rsid w:val="0025164C"/>
    <w:rsid w:val="00257A62"/>
    <w:rsid w:val="00260966"/>
    <w:rsid w:val="00260AAA"/>
    <w:rsid w:val="00261AD4"/>
    <w:rsid w:val="002635CA"/>
    <w:rsid w:val="00264341"/>
    <w:rsid w:val="00267732"/>
    <w:rsid w:val="00270C2E"/>
    <w:rsid w:val="00275BF2"/>
    <w:rsid w:val="00276028"/>
    <w:rsid w:val="00277497"/>
    <w:rsid w:val="00280E7B"/>
    <w:rsid w:val="00281300"/>
    <w:rsid w:val="00281F6A"/>
    <w:rsid w:val="002866E5"/>
    <w:rsid w:val="002977F4"/>
    <w:rsid w:val="002A39D2"/>
    <w:rsid w:val="002A6CAA"/>
    <w:rsid w:val="002B1C82"/>
    <w:rsid w:val="002C049D"/>
    <w:rsid w:val="002C2440"/>
    <w:rsid w:val="002D1FE7"/>
    <w:rsid w:val="002D29B7"/>
    <w:rsid w:val="002D308F"/>
    <w:rsid w:val="002D41E1"/>
    <w:rsid w:val="002E0509"/>
    <w:rsid w:val="002E4C31"/>
    <w:rsid w:val="002F23CD"/>
    <w:rsid w:val="002F5066"/>
    <w:rsid w:val="002F6D65"/>
    <w:rsid w:val="002F7136"/>
    <w:rsid w:val="002F7574"/>
    <w:rsid w:val="00302169"/>
    <w:rsid w:val="00302E93"/>
    <w:rsid w:val="0030331D"/>
    <w:rsid w:val="00304B96"/>
    <w:rsid w:val="00306C8A"/>
    <w:rsid w:val="00314636"/>
    <w:rsid w:val="00314770"/>
    <w:rsid w:val="003177DF"/>
    <w:rsid w:val="00322085"/>
    <w:rsid w:val="00326B03"/>
    <w:rsid w:val="0032716C"/>
    <w:rsid w:val="003309F3"/>
    <w:rsid w:val="003376A0"/>
    <w:rsid w:val="00340167"/>
    <w:rsid w:val="003436F0"/>
    <w:rsid w:val="00343B97"/>
    <w:rsid w:val="0034537D"/>
    <w:rsid w:val="0034679B"/>
    <w:rsid w:val="0034689F"/>
    <w:rsid w:val="00347D34"/>
    <w:rsid w:val="00353A3F"/>
    <w:rsid w:val="00355629"/>
    <w:rsid w:val="00356E9D"/>
    <w:rsid w:val="00361D4B"/>
    <w:rsid w:val="00362CE1"/>
    <w:rsid w:val="00370C22"/>
    <w:rsid w:val="00375FA0"/>
    <w:rsid w:val="003801CF"/>
    <w:rsid w:val="00386C0D"/>
    <w:rsid w:val="00387385"/>
    <w:rsid w:val="00387C5F"/>
    <w:rsid w:val="00394169"/>
    <w:rsid w:val="003A098E"/>
    <w:rsid w:val="003A1737"/>
    <w:rsid w:val="003A3352"/>
    <w:rsid w:val="003A49D4"/>
    <w:rsid w:val="003A66B7"/>
    <w:rsid w:val="003A7A4C"/>
    <w:rsid w:val="003B1574"/>
    <w:rsid w:val="003B2160"/>
    <w:rsid w:val="003C10D9"/>
    <w:rsid w:val="003C4C5A"/>
    <w:rsid w:val="003C4D1D"/>
    <w:rsid w:val="003D0108"/>
    <w:rsid w:val="003D4FF7"/>
    <w:rsid w:val="003E34E6"/>
    <w:rsid w:val="003E39B8"/>
    <w:rsid w:val="003F1721"/>
    <w:rsid w:val="003F2A6E"/>
    <w:rsid w:val="00401455"/>
    <w:rsid w:val="00404568"/>
    <w:rsid w:val="00414A60"/>
    <w:rsid w:val="004201D1"/>
    <w:rsid w:val="00421E39"/>
    <w:rsid w:val="00423039"/>
    <w:rsid w:val="004242CF"/>
    <w:rsid w:val="004341AC"/>
    <w:rsid w:val="00434232"/>
    <w:rsid w:val="00434DAF"/>
    <w:rsid w:val="004365AB"/>
    <w:rsid w:val="00441C10"/>
    <w:rsid w:val="0044632C"/>
    <w:rsid w:val="00450DEB"/>
    <w:rsid w:val="00470570"/>
    <w:rsid w:val="00471260"/>
    <w:rsid w:val="00473DB7"/>
    <w:rsid w:val="0047642F"/>
    <w:rsid w:val="00476B53"/>
    <w:rsid w:val="004771AE"/>
    <w:rsid w:val="0048005D"/>
    <w:rsid w:val="004816F6"/>
    <w:rsid w:val="004833C2"/>
    <w:rsid w:val="00484D2C"/>
    <w:rsid w:val="00491376"/>
    <w:rsid w:val="004923E0"/>
    <w:rsid w:val="00497732"/>
    <w:rsid w:val="004A5AC1"/>
    <w:rsid w:val="004A6E81"/>
    <w:rsid w:val="004A7E2B"/>
    <w:rsid w:val="004B7A96"/>
    <w:rsid w:val="004C1B0B"/>
    <w:rsid w:val="004C29B9"/>
    <w:rsid w:val="004C3050"/>
    <w:rsid w:val="004C5B4B"/>
    <w:rsid w:val="004D0BB9"/>
    <w:rsid w:val="004D2FFC"/>
    <w:rsid w:val="004D382A"/>
    <w:rsid w:val="004D5FBC"/>
    <w:rsid w:val="004D6018"/>
    <w:rsid w:val="004E0483"/>
    <w:rsid w:val="004E11CE"/>
    <w:rsid w:val="004E32D5"/>
    <w:rsid w:val="004E3B41"/>
    <w:rsid w:val="004E4DF7"/>
    <w:rsid w:val="004E6851"/>
    <w:rsid w:val="004F14AA"/>
    <w:rsid w:val="00504B3D"/>
    <w:rsid w:val="00505C1A"/>
    <w:rsid w:val="005111FB"/>
    <w:rsid w:val="005146C3"/>
    <w:rsid w:val="00515BF7"/>
    <w:rsid w:val="0052013F"/>
    <w:rsid w:val="0052072E"/>
    <w:rsid w:val="00521F64"/>
    <w:rsid w:val="00526485"/>
    <w:rsid w:val="00530D7A"/>
    <w:rsid w:val="00534CE4"/>
    <w:rsid w:val="005372C6"/>
    <w:rsid w:val="005375CD"/>
    <w:rsid w:val="00540A21"/>
    <w:rsid w:val="005454A0"/>
    <w:rsid w:val="00545A46"/>
    <w:rsid w:val="00552F2E"/>
    <w:rsid w:val="0055437B"/>
    <w:rsid w:val="005575A3"/>
    <w:rsid w:val="00560F31"/>
    <w:rsid w:val="005631AB"/>
    <w:rsid w:val="00564DFB"/>
    <w:rsid w:val="00567566"/>
    <w:rsid w:val="00573F11"/>
    <w:rsid w:val="005755ED"/>
    <w:rsid w:val="00584B82"/>
    <w:rsid w:val="0058794E"/>
    <w:rsid w:val="005918FA"/>
    <w:rsid w:val="00592732"/>
    <w:rsid w:val="00595E24"/>
    <w:rsid w:val="005966DF"/>
    <w:rsid w:val="005974E4"/>
    <w:rsid w:val="005A0C61"/>
    <w:rsid w:val="005A26E6"/>
    <w:rsid w:val="005A2865"/>
    <w:rsid w:val="005A5D77"/>
    <w:rsid w:val="005A79CD"/>
    <w:rsid w:val="005B164C"/>
    <w:rsid w:val="005B208A"/>
    <w:rsid w:val="005B3B8C"/>
    <w:rsid w:val="005B57D0"/>
    <w:rsid w:val="005B59F6"/>
    <w:rsid w:val="005B70F5"/>
    <w:rsid w:val="005C3786"/>
    <w:rsid w:val="005C3D6A"/>
    <w:rsid w:val="005C61D9"/>
    <w:rsid w:val="005D653C"/>
    <w:rsid w:val="005E755D"/>
    <w:rsid w:val="005F08A5"/>
    <w:rsid w:val="005F1BA1"/>
    <w:rsid w:val="005F3EA7"/>
    <w:rsid w:val="005F43D0"/>
    <w:rsid w:val="005F6321"/>
    <w:rsid w:val="005F6945"/>
    <w:rsid w:val="005F718D"/>
    <w:rsid w:val="006019CE"/>
    <w:rsid w:val="00610906"/>
    <w:rsid w:val="00613324"/>
    <w:rsid w:val="00614368"/>
    <w:rsid w:val="00620ABE"/>
    <w:rsid w:val="00623738"/>
    <w:rsid w:val="006237EB"/>
    <w:rsid w:val="00626119"/>
    <w:rsid w:val="0062628C"/>
    <w:rsid w:val="00632816"/>
    <w:rsid w:val="0063310C"/>
    <w:rsid w:val="00633BBC"/>
    <w:rsid w:val="006360C5"/>
    <w:rsid w:val="00640EA3"/>
    <w:rsid w:val="0064195B"/>
    <w:rsid w:val="00642D6B"/>
    <w:rsid w:val="0064333F"/>
    <w:rsid w:val="0065544C"/>
    <w:rsid w:val="0066052E"/>
    <w:rsid w:val="00665B17"/>
    <w:rsid w:val="00670F15"/>
    <w:rsid w:val="0067137E"/>
    <w:rsid w:val="00672C4F"/>
    <w:rsid w:val="00673CFA"/>
    <w:rsid w:val="00675760"/>
    <w:rsid w:val="00675968"/>
    <w:rsid w:val="00680D32"/>
    <w:rsid w:val="00681B95"/>
    <w:rsid w:val="00685273"/>
    <w:rsid w:val="006857C1"/>
    <w:rsid w:val="00686535"/>
    <w:rsid w:val="00686C06"/>
    <w:rsid w:val="00690BDF"/>
    <w:rsid w:val="00696E1F"/>
    <w:rsid w:val="006A52CF"/>
    <w:rsid w:val="006A5952"/>
    <w:rsid w:val="006A5D7A"/>
    <w:rsid w:val="006A6D8D"/>
    <w:rsid w:val="006B0E11"/>
    <w:rsid w:val="006B18F6"/>
    <w:rsid w:val="006B20DA"/>
    <w:rsid w:val="006B623B"/>
    <w:rsid w:val="006C147B"/>
    <w:rsid w:val="006C1CEB"/>
    <w:rsid w:val="006C38F7"/>
    <w:rsid w:val="006C4E6E"/>
    <w:rsid w:val="006C6825"/>
    <w:rsid w:val="006D0D95"/>
    <w:rsid w:val="006D2E2E"/>
    <w:rsid w:val="006D2E87"/>
    <w:rsid w:val="006D4F76"/>
    <w:rsid w:val="006D7C1F"/>
    <w:rsid w:val="006E60FE"/>
    <w:rsid w:val="006E74E9"/>
    <w:rsid w:val="006F2DB0"/>
    <w:rsid w:val="006F4783"/>
    <w:rsid w:val="006F4D5A"/>
    <w:rsid w:val="007061D6"/>
    <w:rsid w:val="00712777"/>
    <w:rsid w:val="007130AB"/>
    <w:rsid w:val="007136CF"/>
    <w:rsid w:val="0071569D"/>
    <w:rsid w:val="00716CAC"/>
    <w:rsid w:val="0071758B"/>
    <w:rsid w:val="0072094B"/>
    <w:rsid w:val="00723147"/>
    <w:rsid w:val="0072364A"/>
    <w:rsid w:val="007257B2"/>
    <w:rsid w:val="0073011C"/>
    <w:rsid w:val="00732CC4"/>
    <w:rsid w:val="007345F7"/>
    <w:rsid w:val="00734B02"/>
    <w:rsid w:val="00734C1D"/>
    <w:rsid w:val="00737848"/>
    <w:rsid w:val="007407F9"/>
    <w:rsid w:val="00742E21"/>
    <w:rsid w:val="007435BD"/>
    <w:rsid w:val="007438C2"/>
    <w:rsid w:val="00743B3C"/>
    <w:rsid w:val="00745B96"/>
    <w:rsid w:val="0074787E"/>
    <w:rsid w:val="00751DEB"/>
    <w:rsid w:val="00751F7A"/>
    <w:rsid w:val="00753450"/>
    <w:rsid w:val="007544AF"/>
    <w:rsid w:val="00754AB6"/>
    <w:rsid w:val="00754D1B"/>
    <w:rsid w:val="00757CBC"/>
    <w:rsid w:val="007618EE"/>
    <w:rsid w:val="0076661C"/>
    <w:rsid w:val="00767A56"/>
    <w:rsid w:val="00771361"/>
    <w:rsid w:val="00772376"/>
    <w:rsid w:val="00777D67"/>
    <w:rsid w:val="00783152"/>
    <w:rsid w:val="007868BC"/>
    <w:rsid w:val="00792B63"/>
    <w:rsid w:val="007960A8"/>
    <w:rsid w:val="007A080D"/>
    <w:rsid w:val="007A13E7"/>
    <w:rsid w:val="007A2B99"/>
    <w:rsid w:val="007A5860"/>
    <w:rsid w:val="007A655F"/>
    <w:rsid w:val="007B4412"/>
    <w:rsid w:val="007B63D1"/>
    <w:rsid w:val="007C071A"/>
    <w:rsid w:val="007C66ED"/>
    <w:rsid w:val="007D3D7E"/>
    <w:rsid w:val="007D5F33"/>
    <w:rsid w:val="007D763E"/>
    <w:rsid w:val="007E6799"/>
    <w:rsid w:val="007F06D0"/>
    <w:rsid w:val="007F13C4"/>
    <w:rsid w:val="007F25DC"/>
    <w:rsid w:val="007F6820"/>
    <w:rsid w:val="007F6E0F"/>
    <w:rsid w:val="00801989"/>
    <w:rsid w:val="00804064"/>
    <w:rsid w:val="00804784"/>
    <w:rsid w:val="008057F9"/>
    <w:rsid w:val="00811F2E"/>
    <w:rsid w:val="00812438"/>
    <w:rsid w:val="008248E3"/>
    <w:rsid w:val="00830BB4"/>
    <w:rsid w:val="00830EFC"/>
    <w:rsid w:val="00831569"/>
    <w:rsid w:val="00832CFE"/>
    <w:rsid w:val="00834804"/>
    <w:rsid w:val="00834AAD"/>
    <w:rsid w:val="00835627"/>
    <w:rsid w:val="008359C6"/>
    <w:rsid w:val="00837598"/>
    <w:rsid w:val="00841F40"/>
    <w:rsid w:val="00845524"/>
    <w:rsid w:val="008503DE"/>
    <w:rsid w:val="00850892"/>
    <w:rsid w:val="0085157C"/>
    <w:rsid w:val="00853AB8"/>
    <w:rsid w:val="00857985"/>
    <w:rsid w:val="008639FC"/>
    <w:rsid w:val="00867E28"/>
    <w:rsid w:val="0087184C"/>
    <w:rsid w:val="00874499"/>
    <w:rsid w:val="00882770"/>
    <w:rsid w:val="008871D9"/>
    <w:rsid w:val="00887625"/>
    <w:rsid w:val="00890DC9"/>
    <w:rsid w:val="00890F8C"/>
    <w:rsid w:val="008923D8"/>
    <w:rsid w:val="008931DE"/>
    <w:rsid w:val="00893EE4"/>
    <w:rsid w:val="0089613E"/>
    <w:rsid w:val="0089747E"/>
    <w:rsid w:val="008979A8"/>
    <w:rsid w:val="008A2374"/>
    <w:rsid w:val="008A5D62"/>
    <w:rsid w:val="008A61EA"/>
    <w:rsid w:val="008A79F8"/>
    <w:rsid w:val="008B3FF6"/>
    <w:rsid w:val="008C6A5A"/>
    <w:rsid w:val="008D1F95"/>
    <w:rsid w:val="008E495E"/>
    <w:rsid w:val="008E64FB"/>
    <w:rsid w:val="008F0061"/>
    <w:rsid w:val="008F08BE"/>
    <w:rsid w:val="008F27A2"/>
    <w:rsid w:val="008F6F13"/>
    <w:rsid w:val="0090160F"/>
    <w:rsid w:val="00904168"/>
    <w:rsid w:val="009046BE"/>
    <w:rsid w:val="009049C9"/>
    <w:rsid w:val="009056E9"/>
    <w:rsid w:val="0092465A"/>
    <w:rsid w:val="009275FA"/>
    <w:rsid w:val="00933ECA"/>
    <w:rsid w:val="009361F6"/>
    <w:rsid w:val="00936DA0"/>
    <w:rsid w:val="00936F25"/>
    <w:rsid w:val="00943636"/>
    <w:rsid w:val="0095208B"/>
    <w:rsid w:val="00952B8E"/>
    <w:rsid w:val="00953202"/>
    <w:rsid w:val="00956A87"/>
    <w:rsid w:val="0097250B"/>
    <w:rsid w:val="00973746"/>
    <w:rsid w:val="00974E0C"/>
    <w:rsid w:val="009758A8"/>
    <w:rsid w:val="00984549"/>
    <w:rsid w:val="0098701C"/>
    <w:rsid w:val="009914AA"/>
    <w:rsid w:val="00996F10"/>
    <w:rsid w:val="009A11B8"/>
    <w:rsid w:val="009A11CA"/>
    <w:rsid w:val="009A216C"/>
    <w:rsid w:val="009A2178"/>
    <w:rsid w:val="009A4BB6"/>
    <w:rsid w:val="009B2160"/>
    <w:rsid w:val="009C78E4"/>
    <w:rsid w:val="009C7BF9"/>
    <w:rsid w:val="009D2C51"/>
    <w:rsid w:val="009D2CEE"/>
    <w:rsid w:val="009D37AA"/>
    <w:rsid w:val="009D55DC"/>
    <w:rsid w:val="009D6DFA"/>
    <w:rsid w:val="009E595C"/>
    <w:rsid w:val="009F07EF"/>
    <w:rsid w:val="009F0C1C"/>
    <w:rsid w:val="009F38E6"/>
    <w:rsid w:val="009F3EB2"/>
    <w:rsid w:val="009F51BC"/>
    <w:rsid w:val="009F6A35"/>
    <w:rsid w:val="009F700D"/>
    <w:rsid w:val="009F76D4"/>
    <w:rsid w:val="00A05B44"/>
    <w:rsid w:val="00A06288"/>
    <w:rsid w:val="00A13F1C"/>
    <w:rsid w:val="00A1405A"/>
    <w:rsid w:val="00A1534F"/>
    <w:rsid w:val="00A16493"/>
    <w:rsid w:val="00A20A49"/>
    <w:rsid w:val="00A40EE8"/>
    <w:rsid w:val="00A42978"/>
    <w:rsid w:val="00A44659"/>
    <w:rsid w:val="00A527D9"/>
    <w:rsid w:val="00A52A40"/>
    <w:rsid w:val="00A532BE"/>
    <w:rsid w:val="00A56D3C"/>
    <w:rsid w:val="00A57CFE"/>
    <w:rsid w:val="00A57E26"/>
    <w:rsid w:val="00A606A7"/>
    <w:rsid w:val="00A64575"/>
    <w:rsid w:val="00A66E20"/>
    <w:rsid w:val="00A67CFA"/>
    <w:rsid w:val="00A70C78"/>
    <w:rsid w:val="00A73744"/>
    <w:rsid w:val="00A74461"/>
    <w:rsid w:val="00A7485C"/>
    <w:rsid w:val="00A7593B"/>
    <w:rsid w:val="00A760EF"/>
    <w:rsid w:val="00A7779C"/>
    <w:rsid w:val="00A8431F"/>
    <w:rsid w:val="00A84932"/>
    <w:rsid w:val="00A8507D"/>
    <w:rsid w:val="00A8529C"/>
    <w:rsid w:val="00A8693A"/>
    <w:rsid w:val="00A904A1"/>
    <w:rsid w:val="00A9193E"/>
    <w:rsid w:val="00A93B81"/>
    <w:rsid w:val="00A93EF2"/>
    <w:rsid w:val="00A9628B"/>
    <w:rsid w:val="00A96952"/>
    <w:rsid w:val="00A97D73"/>
    <w:rsid w:val="00AA3FCC"/>
    <w:rsid w:val="00AA41DA"/>
    <w:rsid w:val="00AB2AAC"/>
    <w:rsid w:val="00AB313E"/>
    <w:rsid w:val="00AC3269"/>
    <w:rsid w:val="00AD22B7"/>
    <w:rsid w:val="00AD4009"/>
    <w:rsid w:val="00AE13D1"/>
    <w:rsid w:val="00AE391C"/>
    <w:rsid w:val="00AF3033"/>
    <w:rsid w:val="00AF3A81"/>
    <w:rsid w:val="00AF4587"/>
    <w:rsid w:val="00AF5F82"/>
    <w:rsid w:val="00AF7153"/>
    <w:rsid w:val="00B01703"/>
    <w:rsid w:val="00B02EB4"/>
    <w:rsid w:val="00B03425"/>
    <w:rsid w:val="00B069B3"/>
    <w:rsid w:val="00B07430"/>
    <w:rsid w:val="00B12EDA"/>
    <w:rsid w:val="00B1411C"/>
    <w:rsid w:val="00B154D6"/>
    <w:rsid w:val="00B15FDE"/>
    <w:rsid w:val="00B16EE5"/>
    <w:rsid w:val="00B178C1"/>
    <w:rsid w:val="00B23A08"/>
    <w:rsid w:val="00B26A3F"/>
    <w:rsid w:val="00B27E93"/>
    <w:rsid w:val="00B307FA"/>
    <w:rsid w:val="00B33F3F"/>
    <w:rsid w:val="00B36C28"/>
    <w:rsid w:val="00B40170"/>
    <w:rsid w:val="00B44F51"/>
    <w:rsid w:val="00B66F88"/>
    <w:rsid w:val="00B77502"/>
    <w:rsid w:val="00B842FB"/>
    <w:rsid w:val="00B8490F"/>
    <w:rsid w:val="00B910AE"/>
    <w:rsid w:val="00B914E2"/>
    <w:rsid w:val="00B94FDC"/>
    <w:rsid w:val="00B954BF"/>
    <w:rsid w:val="00B962F8"/>
    <w:rsid w:val="00B96FD7"/>
    <w:rsid w:val="00B9738C"/>
    <w:rsid w:val="00BA4887"/>
    <w:rsid w:val="00BA6291"/>
    <w:rsid w:val="00BB0ACE"/>
    <w:rsid w:val="00BC076C"/>
    <w:rsid w:val="00BC1AA0"/>
    <w:rsid w:val="00BC4A07"/>
    <w:rsid w:val="00BC5D69"/>
    <w:rsid w:val="00BC6449"/>
    <w:rsid w:val="00BD0451"/>
    <w:rsid w:val="00BD239E"/>
    <w:rsid w:val="00BD2446"/>
    <w:rsid w:val="00BD4C3A"/>
    <w:rsid w:val="00BD75FF"/>
    <w:rsid w:val="00BE0412"/>
    <w:rsid w:val="00BE3404"/>
    <w:rsid w:val="00BE4CF5"/>
    <w:rsid w:val="00BF732C"/>
    <w:rsid w:val="00C10F0F"/>
    <w:rsid w:val="00C11F55"/>
    <w:rsid w:val="00C15383"/>
    <w:rsid w:val="00C2437E"/>
    <w:rsid w:val="00C3121B"/>
    <w:rsid w:val="00C349AD"/>
    <w:rsid w:val="00C350A9"/>
    <w:rsid w:val="00C359CD"/>
    <w:rsid w:val="00C366F7"/>
    <w:rsid w:val="00C37867"/>
    <w:rsid w:val="00C42478"/>
    <w:rsid w:val="00C47917"/>
    <w:rsid w:val="00C512C7"/>
    <w:rsid w:val="00C56A47"/>
    <w:rsid w:val="00C60898"/>
    <w:rsid w:val="00C60D2F"/>
    <w:rsid w:val="00C6351F"/>
    <w:rsid w:val="00C64226"/>
    <w:rsid w:val="00C64A4B"/>
    <w:rsid w:val="00C6535E"/>
    <w:rsid w:val="00C807B3"/>
    <w:rsid w:val="00C81411"/>
    <w:rsid w:val="00C84A0A"/>
    <w:rsid w:val="00C9566D"/>
    <w:rsid w:val="00CA06A2"/>
    <w:rsid w:val="00CA7A70"/>
    <w:rsid w:val="00CB0841"/>
    <w:rsid w:val="00CB1783"/>
    <w:rsid w:val="00CB2E61"/>
    <w:rsid w:val="00CC3B68"/>
    <w:rsid w:val="00CC3C9A"/>
    <w:rsid w:val="00CC5298"/>
    <w:rsid w:val="00CC5DFA"/>
    <w:rsid w:val="00CC7182"/>
    <w:rsid w:val="00CC78BB"/>
    <w:rsid w:val="00CD1F48"/>
    <w:rsid w:val="00CD2198"/>
    <w:rsid w:val="00CD7D16"/>
    <w:rsid w:val="00CE1D29"/>
    <w:rsid w:val="00CF234F"/>
    <w:rsid w:val="00CF2521"/>
    <w:rsid w:val="00CF26EC"/>
    <w:rsid w:val="00CF6BA8"/>
    <w:rsid w:val="00D01281"/>
    <w:rsid w:val="00D07466"/>
    <w:rsid w:val="00D12A42"/>
    <w:rsid w:val="00D21753"/>
    <w:rsid w:val="00D242F2"/>
    <w:rsid w:val="00D262DF"/>
    <w:rsid w:val="00D2765E"/>
    <w:rsid w:val="00D31C57"/>
    <w:rsid w:val="00D3250E"/>
    <w:rsid w:val="00D33312"/>
    <w:rsid w:val="00D34053"/>
    <w:rsid w:val="00D34313"/>
    <w:rsid w:val="00D36B61"/>
    <w:rsid w:val="00D400B9"/>
    <w:rsid w:val="00D43349"/>
    <w:rsid w:val="00D449FB"/>
    <w:rsid w:val="00D50BCB"/>
    <w:rsid w:val="00D50E9E"/>
    <w:rsid w:val="00D52FA3"/>
    <w:rsid w:val="00D60864"/>
    <w:rsid w:val="00D61115"/>
    <w:rsid w:val="00D63179"/>
    <w:rsid w:val="00D6511F"/>
    <w:rsid w:val="00D720EE"/>
    <w:rsid w:val="00D8339A"/>
    <w:rsid w:val="00D854B2"/>
    <w:rsid w:val="00D92A70"/>
    <w:rsid w:val="00D936BC"/>
    <w:rsid w:val="00DA0006"/>
    <w:rsid w:val="00DA04E8"/>
    <w:rsid w:val="00DA24CE"/>
    <w:rsid w:val="00DA4063"/>
    <w:rsid w:val="00DA6177"/>
    <w:rsid w:val="00DB2ACA"/>
    <w:rsid w:val="00DB363A"/>
    <w:rsid w:val="00DB613B"/>
    <w:rsid w:val="00DB6797"/>
    <w:rsid w:val="00DB6C20"/>
    <w:rsid w:val="00DB6EFA"/>
    <w:rsid w:val="00DC05B7"/>
    <w:rsid w:val="00DC10FC"/>
    <w:rsid w:val="00DC2387"/>
    <w:rsid w:val="00DD5597"/>
    <w:rsid w:val="00DD6927"/>
    <w:rsid w:val="00DD6DE7"/>
    <w:rsid w:val="00DE0E29"/>
    <w:rsid w:val="00DE20D6"/>
    <w:rsid w:val="00DE2FA6"/>
    <w:rsid w:val="00DE4F51"/>
    <w:rsid w:val="00DE6B71"/>
    <w:rsid w:val="00DF0591"/>
    <w:rsid w:val="00DF0D9F"/>
    <w:rsid w:val="00DF65C1"/>
    <w:rsid w:val="00DF6E86"/>
    <w:rsid w:val="00E00973"/>
    <w:rsid w:val="00E00C2F"/>
    <w:rsid w:val="00E01DD8"/>
    <w:rsid w:val="00E03E4D"/>
    <w:rsid w:val="00E04274"/>
    <w:rsid w:val="00E055F6"/>
    <w:rsid w:val="00E06F21"/>
    <w:rsid w:val="00E071F3"/>
    <w:rsid w:val="00E123F7"/>
    <w:rsid w:val="00E1432A"/>
    <w:rsid w:val="00E144C5"/>
    <w:rsid w:val="00E14DA9"/>
    <w:rsid w:val="00E215AF"/>
    <w:rsid w:val="00E215EF"/>
    <w:rsid w:val="00E222E7"/>
    <w:rsid w:val="00E22955"/>
    <w:rsid w:val="00E2413D"/>
    <w:rsid w:val="00E24C5C"/>
    <w:rsid w:val="00E30B2C"/>
    <w:rsid w:val="00E31678"/>
    <w:rsid w:val="00E31ED0"/>
    <w:rsid w:val="00E33284"/>
    <w:rsid w:val="00E34A69"/>
    <w:rsid w:val="00E41A41"/>
    <w:rsid w:val="00E45C8E"/>
    <w:rsid w:val="00E4704A"/>
    <w:rsid w:val="00E47668"/>
    <w:rsid w:val="00E50725"/>
    <w:rsid w:val="00E51EA8"/>
    <w:rsid w:val="00E574C7"/>
    <w:rsid w:val="00E80077"/>
    <w:rsid w:val="00E82532"/>
    <w:rsid w:val="00E860A1"/>
    <w:rsid w:val="00E86312"/>
    <w:rsid w:val="00E8670A"/>
    <w:rsid w:val="00E92F9E"/>
    <w:rsid w:val="00E94444"/>
    <w:rsid w:val="00EA1EC8"/>
    <w:rsid w:val="00EA7F90"/>
    <w:rsid w:val="00EB62E4"/>
    <w:rsid w:val="00ED0716"/>
    <w:rsid w:val="00ED2019"/>
    <w:rsid w:val="00ED30D2"/>
    <w:rsid w:val="00ED78B6"/>
    <w:rsid w:val="00EE2B20"/>
    <w:rsid w:val="00EE79BE"/>
    <w:rsid w:val="00EF1ACF"/>
    <w:rsid w:val="00EF345E"/>
    <w:rsid w:val="00EF6DA3"/>
    <w:rsid w:val="00EF700D"/>
    <w:rsid w:val="00F013B1"/>
    <w:rsid w:val="00F01F86"/>
    <w:rsid w:val="00F10477"/>
    <w:rsid w:val="00F11CA3"/>
    <w:rsid w:val="00F134F1"/>
    <w:rsid w:val="00F13AE3"/>
    <w:rsid w:val="00F147C7"/>
    <w:rsid w:val="00F14F49"/>
    <w:rsid w:val="00F1684C"/>
    <w:rsid w:val="00F25518"/>
    <w:rsid w:val="00F264B9"/>
    <w:rsid w:val="00F306E7"/>
    <w:rsid w:val="00F309BF"/>
    <w:rsid w:val="00F31AB5"/>
    <w:rsid w:val="00F33D00"/>
    <w:rsid w:val="00F37476"/>
    <w:rsid w:val="00F56EA5"/>
    <w:rsid w:val="00F57E40"/>
    <w:rsid w:val="00F60BD1"/>
    <w:rsid w:val="00F60D61"/>
    <w:rsid w:val="00F62DDE"/>
    <w:rsid w:val="00F62FA4"/>
    <w:rsid w:val="00F64A56"/>
    <w:rsid w:val="00F66075"/>
    <w:rsid w:val="00F67666"/>
    <w:rsid w:val="00F73DA1"/>
    <w:rsid w:val="00F81B62"/>
    <w:rsid w:val="00F83C76"/>
    <w:rsid w:val="00F93403"/>
    <w:rsid w:val="00F952A4"/>
    <w:rsid w:val="00F959D2"/>
    <w:rsid w:val="00F97A87"/>
    <w:rsid w:val="00FA5A2F"/>
    <w:rsid w:val="00FC59F3"/>
    <w:rsid w:val="00FC5B65"/>
    <w:rsid w:val="00FD7724"/>
    <w:rsid w:val="00FF101B"/>
    <w:rsid w:val="00FF205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82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82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F01-F577-4598-9B22-C80D20C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6</cp:revision>
  <cp:lastPrinted>2015-02-13T08:13:00Z</cp:lastPrinted>
  <dcterms:created xsi:type="dcterms:W3CDTF">2015-03-12T11:48:00Z</dcterms:created>
  <dcterms:modified xsi:type="dcterms:W3CDTF">2015-03-30T06:29:00Z</dcterms:modified>
</cp:coreProperties>
</file>