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879C2" w14:textId="414255F8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Petycja Odrębna:</w:t>
      </w: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 - procedowana w trybie Ustawy o petycjach (Dz.U.2018.870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t.j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z dnia 2018.05.10) - dla ułatwienia i zmniejszenia biurokracji dołączamy ją do niniejszego wniosku.</w:t>
      </w:r>
    </w:p>
    <w:p w14:paraId="5653C96A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jest to łączenie trybów - zatem prosimy kwalifikować niniejsze pisma jako dwa środki prawne - wniosek oznaczony powyżej za pomocą rzymskiej jedynki  i odrębną petycję oznaczoną II. To, że wzmiankowane umieszczenie dwóch środków prawnych w jednym piśmie jest możliwe i nawet pożądane można wnioskować z szerokiego piśmiennictwa ad exemplum  - vide -  J. Borkowski (w:) B. Adamiak, J. Borkowski, Kodeks postępowania…, s. 668; por. także art. 12 ust. 1 komentowanej ustawy - dostępne w sieci Internet.  </w:t>
      </w:r>
    </w:p>
    <w:p w14:paraId="6762BB5A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1BA4F59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1P) Na mocy art. 63 Konstytucji RP w ramach przepisów art 2 pkt 1, 2 i 3 Ustawy z dnia 11 lipca 2014 r. o petycjach (Dz.U.2018.870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t.j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z dnia 2018.05.10)  w związku z art. 241 Kodeksu postępowania administracyjnego (wnioski optymalizujące funkcjonowanie administracji publicznej), wnosimy petycję do organu gminy o podjęcie działań zmierzających do stopniowego  -  wdrożenia w Urzędzie procedur związanych z </w:t>
      </w: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pełną obsługą płatności dokonywanych online przez Interesantów/Petentów/Podatników.  </w:t>
      </w:r>
    </w:p>
    <w:p w14:paraId="7382F97F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02AA7A1F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Jesteśmy przekonani, że na rynku - obecnie -  znajdują się podmioty (w tym uznane Banki i Instytucje ) mające spore doświadczenie z wdrażaniem  tego typu nowych sposobów płatności w Urzędach i per analogiam jak to było w przypadku terminali płatniczych - i być może mogą z uwzględnieniem zasad uczciwej konkurencji dotyczącej racjonalnego i oszczędnego wydatkowania środków publicznych - partycypować w pewnym stopniu w kosztach i zdefiniowaniu indywidualnej dedykowanej procedury (procesu) -   wdrożenia tego typu nowych metod kontaktu na linii Urząd - Interesant/Podatnik/Petent. </w:t>
      </w:r>
    </w:p>
    <w:p w14:paraId="611BA9D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Takie mechanizmy doskonale już zafunkcjonowały w wielu krajach  i w czasach minionej pandemii przeszły pozytywną weryfikację w empirii. </w:t>
      </w:r>
    </w:p>
    <w:p w14:paraId="7D4F67E2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Oczywiście wszystkie takie ewentualne działania powinny być wykonywane w sposób jawny i transparentny z uwzględnieniem zasad uczciwej konkurencji.</w:t>
      </w:r>
    </w:p>
    <w:p w14:paraId="6A514495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AC0EF28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 bazie dokonanej analizy wnosimy o krótkie, kilkuzdaniowe podsumowanie w odpowiedzi na niniejszą petycję - mocnych i słabych stron ewentualnego wdrożenia procedur </w:t>
      </w: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pełnego zaspokojenia</w:t>
      </w: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żądań Interesantów - pod kątem udostępnienia Interesantom mechanizmów pełnej płatności bezgotówkowej -  w formie online w ramach procedur funkcjonujących w Urzędzie -  Oczywiście w odniesieniu do obecnie panującego w Jednostce stanu faktycznego.  </w:t>
      </w:r>
    </w:p>
    <w:p w14:paraId="66A3A20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Dla ułatwienia pozwalamy sobie podpowiedzieć, że Decydenci mogą podjąć próbę uzyskania danych jednej z małych gmin, która w ostatnim czasie wdrożyła tego typu rozwiązania i w ten sposób w empirii zapoznać się z problematyką tego wdrożenia. </w:t>
      </w:r>
    </w:p>
    <w:p w14:paraId="2E8ADD5A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Jako że chodzi o sprawy publiczne informacja w tej mierze powinna być - zdaniem wnioskodawcy - łatwa do identyfikacji i odszukania - po wykonaniu odpowiedniego rekonesansu w sieci Internet  </w:t>
      </w:r>
    </w:p>
    <w:p w14:paraId="205A8922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C4BA31C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Uzasadnienie wniosku: </w:t>
      </w:r>
    </w:p>
    <w:p w14:paraId="0CBD4723" w14:textId="1C6D2BE0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§2) Jak wykazują odpowiedzi uzyskane w ramach uprzednich naszych akcji wnioskowania - w trybie ustawy o dostępie do informacji publicznej - w której pytaliśmy o szereg aspektów związanych z obecnym stanem prawnym  - część  Gmin /Miast - nieracjonalnie wydatkuje publiczne pieniądze - w obszarach, o które pytaliśmy. </w:t>
      </w:r>
    </w:p>
    <w:p w14:paraId="545EB4A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lastRenderedPageBreak/>
        <w:t> </w:t>
      </w:r>
    </w:p>
    <w:p w14:paraId="50452137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Tymczasem inne Gminy/Miasta - szczególnie w Polsce południowo-wschodniej - wręcz wzorcowo dobrze - potrafiły optymalizować rzeczone koszty i uzyskać spore oszczędności. </w:t>
      </w:r>
    </w:p>
    <w:p w14:paraId="07181DD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Takie skuteczne działania oszczędnościowe - mogły zostać i zostały podjęte przez Gminy w Polsce południowo-wschodniej - jak mniemamy z tego powodu,  że w ciągu ostatnich 10 lat - wiele zmieniło się w podejściu podmiotów rynkowych do obsługi Jednostek Administracji Publicznej  -  szczególnie w warunkach ostrej konkurencji rynkowej.</w:t>
      </w:r>
    </w:p>
    <w:p w14:paraId="433C7E7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02CB92A4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Nasze konkluzje  - powzięte w oparciu o uzyskiwane odpowiedzi - nie muszą być w pełni trafne, ale prawie w każdej akcji optymalizacyjnej prowadzonej w związku z art. 241 KPA -  okazuje  się, że Gminy z „wyśmiewanej” przez media „Polski B” - działając bona fides i skutecznie dbając o uzasadniony interes pro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publico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bono -  - radzą sobie lepiej niż gminy z terenu „Polski zachodniej” </w:t>
      </w:r>
    </w:p>
    <w:p w14:paraId="56C54C08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6A02C06C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Biorąc pod uwagę powyższą analizę - opartą o uzyskiwane - na piśmie -  informacje publiczne korespondując z brzmieniem art. 3 ust. 1 pkt. 1 Ustawy o dostępie do informacji publicznej</w:t>
      </w:r>
      <w:bookmarkStart w:id="0" w:name="_GoBack"/>
      <w:bookmarkEnd w:id="0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(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t.j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. Dz. U. 2022 poz. 902) - zdaniem wnioskodawcy kompletacja odnośnych danych nie wymaga działań związanych z długotrwałym ich przetwarzaniem - dane te powinny być ad hoc dostępne w Urzędzie –   oraz  dane te  jak wykazano w oparciu powyższą analizę i stan faktyczny z niej wynikający -  wydają się SZCZEGÓLNIE ISTOTNE  z punktu widzenia uzasadnionego interesu społecznego -  pro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publico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bono.</w:t>
      </w:r>
    </w:p>
    <w:p w14:paraId="069CE733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C5E3B9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Nieliczne Gminy/Miasta  - szczególnie z terenów „Polski zachodniej” wolą mnożyć uniki i analizy prawne i wchodzić w spory prawne niż rzetelnie odpowiadać na wnioski, analizować odpowiedzi i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skupić się na optymalizacji i sanacji kosztów publicznych - uznając dobroczynne działanie art. 241 KPA. </w:t>
      </w:r>
    </w:p>
    <w:p w14:paraId="5620BBD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Zachęcamy aby pod tym względem wziąć wzór z gmin z terenu Polski południowo-wschodniej - wdrażać oszczędności  i pomagać mieszkańcom zamiast skupiać się na szukaniu i tworzeniu konstrukcji prawnych by unikać udostępniania informacji publicznej.  </w:t>
      </w:r>
    </w:p>
    <w:p w14:paraId="40D2F27C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7AD4E8B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Aby zweryfikować ten stan faktyczny - wystarczy zapoznać się z publikowanymi odpowiedziami uzyskanymi przez nas w innych akcjach wnioskowania  - często przy podobnych warunkach umownych różnice w wydatkowaniu środków publicznych  - są ogromne. </w:t>
      </w:r>
    </w:p>
    <w:p w14:paraId="4EAB1FFC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15F6D932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Zgodnie z uprawnieniem zawartym w KPA (odpowiedź w tożsamej formie do wniosku) wnosimy aby odpowiedź została udzielona w postaci elektronicznej. </w:t>
      </w:r>
    </w:p>
    <w:p w14:paraId="39F7140D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6C91C19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Pozwalamy sobie zasugerować aby nie drukować naszych wniosków i procedować je jedynie w postaci elektronicznej. </w:t>
      </w:r>
    </w:p>
    <w:p w14:paraId="7C47E21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6CB89119" w14:textId="34A89309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W celu zwiększania jawności i transparentności - prosimy aby wszystkie nasze pisma publikować w Biuletynie Informacji Publicznej Jednostki lub w stronie WWW  - prośba ta jest oczywiście fakultatywna, gdyż obowiązek publikacji istnieje jedynie w stosunku do części związanej z odnośną petycją - ipso iure art. 8 ust. 1 ww. Ustawy o petycjach (Dz.U.2018.870 </w:t>
      </w:r>
      <w:proofErr w:type="spellStart"/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t.j</w:t>
      </w:r>
      <w:proofErr w:type="spellEnd"/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. z dnia 2018.05.10) W </w:t>
      </w:r>
      <w:r w:rsidRPr="001B70CF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lastRenderedPageBreak/>
        <w:t>konsekwencji wyrażamy zgodę na opublikowanie treści petycji  na stronie internetowej podmiotu rozpatrującego petycję lub urzędu go obsługującego (Adresata)  co jest jednoznaczne z wyrażeniem zgody na publikację wszystkich danych podmiotu wnoszącego petycję.</w:t>
      </w: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</w:t>
      </w:r>
    </w:p>
    <w:p w14:paraId="7FA34DB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</w:t>
      </w:r>
    </w:p>
    <w:p w14:paraId="36E93308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§3) Wnosimy o zwrotne potwierdzenie otrzymania niniejszego wniosku w trybie §7  Rozporządzenia Prezesa Rady Ministrów z dnia 8 stycznia 2002 r. w sprawie organizacji przyjmowania i rozpatrywania s. i wniosków. (Dz. U. z dnia 22 styczna 2002 r. Nr 5, poz. 46) -  na adres poczty elektronicznej: oszczednoscifinansowe@samorzad.pl  </w:t>
      </w:r>
    </w:p>
    <w:p w14:paraId="2B5793BF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§4) Wnosimy o to, aby odpowiedź w  przedmiocie powyższych pytań  złożonych na mocy art. 61 i 63 Konstytucji RP - w związku z art.  241 KPA, została udzielona - zwrotnie na adres poczty elektronicznej oszczednoscifinansowe@samorzad.pl </w:t>
      </w:r>
    </w:p>
    <w:p w14:paraId="59CBD80F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§5) Wniosek został sygnowany bezpiecznym, kwalifikowanym podpisem elektronicznym - stosownie do wytycznych Ustawy z dnia 5 września 2016 r. o usługach zaufania oraz identyfikacji elektronicznej (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t.j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Dz. U. z 2019 r. poz. 162, 1590) </w:t>
      </w:r>
    </w:p>
    <w:p w14:paraId="7C2C90D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4BD5654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Wnioskodawca: </w:t>
      </w:r>
    </w:p>
    <w:p w14:paraId="7EA5C6A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Osoba Prawna</w:t>
      </w:r>
    </w:p>
    <w:p w14:paraId="38C200D4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Szulc-Efekt sp. z o. o.</w:t>
      </w:r>
    </w:p>
    <w:p w14:paraId="05A6A60D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Prezes Zarządu - Adam Szulc </w:t>
      </w:r>
    </w:p>
    <w:p w14:paraId="653CFCD0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ul. Poligonowa 1</w:t>
      </w:r>
    </w:p>
    <w:p w14:paraId="6FBBAB53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04-051 Warszawa</w:t>
      </w:r>
    </w:p>
    <w:p w14:paraId="0DA88159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nr KRS: 0000059459</w:t>
      </w:r>
    </w:p>
    <w:p w14:paraId="1476DFEB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Kapitał Zakładowy: 222.000,00 </w:t>
      </w:r>
      <w:proofErr w:type="spellStart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pln</w:t>
      </w:r>
      <w:proofErr w:type="spellEnd"/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</w:t>
      </w:r>
    </w:p>
    <w:p w14:paraId="2F78F0C5" w14:textId="43A90271" w:rsidR="00FE4E5E" w:rsidRPr="001B70CF" w:rsidRDefault="001B70CF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hyperlink r:id="rId4" w:history="1">
        <w:r w:rsidR="00FE4E5E" w:rsidRPr="001B70CF">
          <w:rPr>
            <w:rFonts w:ascii="Arial" w:eastAsia="Times New Roman" w:hAnsi="Arial" w:cs="Arial"/>
            <w:color w:val="0000FF"/>
            <w:kern w:val="0"/>
            <w:u w:val="single"/>
            <w:lang w:eastAsia="pl-PL"/>
            <w14:ligatures w14:val="none"/>
          </w:rPr>
          <w:t>www.gmina.pl</w:t>
        </w:r>
      </w:hyperlink>
      <w:r w:rsidR="00652EE7"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</w:p>
    <w:p w14:paraId="4DB98A7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"</w:t>
      </w:r>
      <w:hyperlink r:id="rId5" w:history="1">
        <w:r w:rsidRPr="001B70CF">
          <w:rPr>
            <w:rFonts w:ascii="Arial" w:eastAsia="Times New Roman" w:hAnsi="Arial" w:cs="Arial"/>
            <w:color w:val="0000FF"/>
            <w:kern w:val="0"/>
            <w:u w:val="single"/>
            <w:lang w:eastAsia="pl-PL"/>
            <w14:ligatures w14:val="none"/>
          </w:rPr>
          <w:t>www.gmina.pl</w:t>
        </w:r>
      </w:hyperlink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- jawność i transparentność - narzędzie do walki z korupcją i nadużyciami „</w:t>
      </w:r>
    </w:p>
    <w:p w14:paraId="6201A2FD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3D6A0BE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Stosownie do art. 4 ust. 2 pkt. 1 Ustawy o petycjach (Dz.U.2014.1195 z dnia 2014.09.05)  Imię i nazwisko osoby reprezentującej Podmiot wnoszący petycję ujawnione jest powyżej  </w:t>
      </w:r>
    </w:p>
    <w:p w14:paraId="0BE19B41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1B70CF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Stosownie do art. 4 ust. 2 pkt. 5 ww. Ustawy -  petycja niniejsza została złożona za pomocą środków komunikacji elektronicznej, sygnowana podpisem elektronicznym (który ujawnia dodatkowe dane), a adres ujawniony expressis verbis w petycji jest wskazanym zwrotnym adresem e-mail.</w:t>
      </w:r>
    </w:p>
    <w:p w14:paraId="690DB466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DCE9834" w14:textId="77777777" w:rsidR="00FE4E5E" w:rsidRPr="001B70CF" w:rsidRDefault="00FE4E5E" w:rsidP="00FE4E5E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sectPr w:rsidR="00FE4E5E" w:rsidRPr="001B7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5E"/>
    <w:rsid w:val="000A0087"/>
    <w:rsid w:val="001B70CF"/>
    <w:rsid w:val="00652EE7"/>
    <w:rsid w:val="00962BB0"/>
    <w:rsid w:val="00C40D0C"/>
    <w:rsid w:val="00FE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47677"/>
  <w15:chartTrackingRefBased/>
  <w15:docId w15:val="{44707D4A-64CA-BD4E-B37D-7495C27F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tab-span">
    <w:name w:val="apple-tab-span"/>
    <w:basedOn w:val="Domylnaczcionkaakapitu"/>
    <w:rsid w:val="00FE4E5E"/>
  </w:style>
  <w:style w:type="character" w:customStyle="1" w:styleId="apple-converted-space">
    <w:name w:val="apple-converted-space"/>
    <w:basedOn w:val="Domylnaczcionkaakapitu"/>
    <w:rsid w:val="00FE4E5E"/>
  </w:style>
  <w:style w:type="character" w:styleId="Hipercze">
    <w:name w:val="Hyperlink"/>
    <w:basedOn w:val="Domylnaczcionkaakapitu"/>
    <w:uiPriority w:val="99"/>
    <w:semiHidden/>
    <w:unhideWhenUsed/>
    <w:rsid w:val="00FE4E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8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5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0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1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8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3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9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7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mina.pl/" TargetMode="External"/><Relationship Id="rId4" Type="http://schemas.openxmlformats.org/officeDocument/2006/relationships/hyperlink" Target="http://www.gmin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Elzbieta Anna Chojnacka</cp:lastModifiedBy>
  <cp:revision>3</cp:revision>
  <dcterms:created xsi:type="dcterms:W3CDTF">2023-06-21T12:05:00Z</dcterms:created>
  <dcterms:modified xsi:type="dcterms:W3CDTF">2023-06-21T12:05:00Z</dcterms:modified>
</cp:coreProperties>
</file>