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6D9" w:rsidRPr="00FD55BE" w:rsidRDefault="00F65B63" w:rsidP="00FD55BE">
      <w:pPr>
        <w:spacing w:after="16" w:line="259" w:lineRule="auto"/>
        <w:ind w:left="0" w:firstLine="708"/>
        <w:rPr>
          <w:rFonts w:ascii="Arial" w:hAnsi="Arial" w:cs="Arial"/>
          <w:sz w:val="22"/>
        </w:rPr>
      </w:pPr>
      <w:bookmarkStart w:id="0" w:name="_GoBack"/>
      <w:bookmarkEnd w:id="0"/>
      <w:r w:rsidRPr="00FD55BE">
        <w:rPr>
          <w:rFonts w:ascii="Arial" w:hAnsi="Arial" w:cs="Arial"/>
          <w:sz w:val="22"/>
        </w:rPr>
        <w:t>Na podstawie art. 291c ustawy z dnia 29 sierpnia 1997 r. - Ordynacja podatkowa (</w:t>
      </w:r>
      <w:proofErr w:type="spellStart"/>
      <w:r w:rsidRPr="00FD55BE">
        <w:rPr>
          <w:rFonts w:ascii="Arial" w:hAnsi="Arial" w:cs="Arial"/>
          <w:sz w:val="22"/>
        </w:rPr>
        <w:t>t.j</w:t>
      </w:r>
      <w:proofErr w:type="spellEnd"/>
      <w:r w:rsidRPr="00FD55BE">
        <w:rPr>
          <w:rFonts w:ascii="Arial" w:hAnsi="Arial" w:cs="Arial"/>
          <w:sz w:val="22"/>
        </w:rPr>
        <w:t>. Dz. U.</w:t>
      </w:r>
    </w:p>
    <w:p w:rsidR="003036D9" w:rsidRPr="00FD55BE" w:rsidRDefault="00F65B63" w:rsidP="00FD55BE">
      <w:pPr>
        <w:spacing w:after="549"/>
        <w:ind w:right="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z 202</w:t>
      </w:r>
      <w:r w:rsidR="00FD55BE">
        <w:rPr>
          <w:rFonts w:ascii="Arial" w:hAnsi="Arial" w:cs="Arial"/>
          <w:sz w:val="22"/>
        </w:rPr>
        <w:t>6</w:t>
      </w:r>
      <w:r w:rsidRPr="00FD55BE">
        <w:rPr>
          <w:rFonts w:ascii="Arial" w:hAnsi="Arial" w:cs="Arial"/>
          <w:sz w:val="22"/>
        </w:rPr>
        <w:t xml:space="preserve"> r., poz. </w:t>
      </w:r>
      <w:r w:rsidR="00FD55BE">
        <w:rPr>
          <w:rFonts w:ascii="Arial" w:hAnsi="Arial" w:cs="Arial"/>
          <w:sz w:val="22"/>
        </w:rPr>
        <w:t>622 ze zm.</w:t>
      </w:r>
      <w:r w:rsidRPr="00FD55BE">
        <w:rPr>
          <w:rFonts w:ascii="Arial" w:hAnsi="Arial" w:cs="Arial"/>
          <w:sz w:val="22"/>
        </w:rPr>
        <w:t>) „do kontroli działalności gospodarczej podatnika będącego przedsiębiorcą stosuje się przepisy rozdziału 5 ustawy z dnia 6 marca 2018 r. - Prawo przedsiębiorców” (</w:t>
      </w:r>
      <w:proofErr w:type="spellStart"/>
      <w:r w:rsidRPr="00FD55BE">
        <w:rPr>
          <w:rFonts w:ascii="Arial" w:hAnsi="Arial" w:cs="Arial"/>
          <w:sz w:val="22"/>
        </w:rPr>
        <w:t>t.j</w:t>
      </w:r>
      <w:proofErr w:type="spellEnd"/>
      <w:r w:rsidRPr="00FD55BE">
        <w:rPr>
          <w:rFonts w:ascii="Arial" w:hAnsi="Arial" w:cs="Arial"/>
          <w:sz w:val="22"/>
        </w:rPr>
        <w:t xml:space="preserve">. Dz. U. z 2025 r., poz. 1480 z </w:t>
      </w:r>
      <w:proofErr w:type="spellStart"/>
      <w:r w:rsidRPr="00FD55BE">
        <w:rPr>
          <w:rFonts w:ascii="Arial" w:hAnsi="Arial" w:cs="Arial"/>
          <w:sz w:val="22"/>
        </w:rPr>
        <w:t>późn</w:t>
      </w:r>
      <w:proofErr w:type="spellEnd"/>
      <w:r w:rsidRPr="00FD55BE">
        <w:rPr>
          <w:rFonts w:ascii="Arial" w:hAnsi="Arial" w:cs="Arial"/>
          <w:sz w:val="22"/>
        </w:rPr>
        <w:t>. zm.).</w:t>
      </w:r>
    </w:p>
    <w:p w:rsidR="003036D9" w:rsidRPr="00FD55BE" w:rsidRDefault="00F65B63" w:rsidP="00FD55BE">
      <w:pPr>
        <w:spacing w:after="11" w:line="265" w:lineRule="auto"/>
        <w:ind w:left="13" w:right="5"/>
        <w:rPr>
          <w:rFonts w:ascii="Arial" w:hAnsi="Arial" w:cs="Arial"/>
          <w:sz w:val="22"/>
        </w:rPr>
      </w:pPr>
      <w:r w:rsidRPr="00FD55BE">
        <w:rPr>
          <w:rFonts w:ascii="Arial" w:hAnsi="Arial" w:cs="Arial"/>
          <w:b/>
          <w:sz w:val="22"/>
        </w:rPr>
        <w:t>I. ANALIZA PRAWDOPODOBIEŃSTWA NARUSZENIA PRAWA</w:t>
      </w:r>
      <w:r w:rsidR="00FD55BE">
        <w:rPr>
          <w:rFonts w:ascii="Arial" w:hAnsi="Arial" w:cs="Arial"/>
          <w:b/>
          <w:sz w:val="22"/>
        </w:rPr>
        <w:t xml:space="preserve"> </w:t>
      </w:r>
      <w:r w:rsidRPr="00FD55BE">
        <w:rPr>
          <w:rFonts w:ascii="Arial" w:hAnsi="Arial" w:cs="Arial"/>
          <w:b/>
          <w:sz w:val="22"/>
        </w:rPr>
        <w:t>W OBSZARZE PODATKÓW</w:t>
      </w:r>
      <w:r w:rsidR="00FD55BE">
        <w:rPr>
          <w:rFonts w:ascii="Arial" w:hAnsi="Arial" w:cs="Arial"/>
          <w:b/>
          <w:sz w:val="22"/>
        </w:rPr>
        <w:br/>
      </w:r>
      <w:r w:rsidRPr="00FD55BE">
        <w:rPr>
          <w:rFonts w:ascii="Arial" w:hAnsi="Arial" w:cs="Arial"/>
          <w:b/>
          <w:sz w:val="22"/>
        </w:rPr>
        <w:t>I OPŁAT LOKALNYCH</w:t>
      </w:r>
    </w:p>
    <w:p w:rsidR="003036D9" w:rsidRPr="00FD55BE" w:rsidRDefault="00F65B63" w:rsidP="00FD55BE">
      <w:pPr>
        <w:ind w:left="0" w:right="0" w:firstLine="71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 xml:space="preserve">Stosownie do treści  art. 47 ust. 1 ustawy z dnia 6 marca 2018 r. - Prawo przedsiębiorców „kontrole przeprowadza się zgodnie z okresowym planem kontroli po uprzednim dokonaniu okresowej analizy prawdopodobieństwa naruszenia prawa w ramach wykonywania działalności gospodarczej (kontrola planowa). Analiza obejmuje identyfikację obszarów podmiotowych </w:t>
      </w:r>
      <w:r w:rsidR="005A11E9">
        <w:rPr>
          <w:rFonts w:ascii="Arial" w:hAnsi="Arial" w:cs="Arial"/>
          <w:sz w:val="22"/>
        </w:rPr>
        <w:br/>
      </w:r>
      <w:r w:rsidRPr="00FD55BE">
        <w:rPr>
          <w:rFonts w:ascii="Arial" w:hAnsi="Arial" w:cs="Arial"/>
          <w:sz w:val="22"/>
        </w:rPr>
        <w:t>i przedmiotowych, w których ryzyko naruszenia przepisów jest największe. W oparciu o wyniki analizy określa się zasady umożliwiające przypisanie przedsiębiorców do jednej z następującej kategorii ryzyka: niskie, średnie, wysokie. Sposób przeprowadzenia analizy określa organ kontroli lub organ nadrzędny.”</w:t>
      </w:r>
    </w:p>
    <w:p w:rsidR="003036D9" w:rsidRPr="00FD55BE" w:rsidRDefault="00F65B63" w:rsidP="00FD55BE">
      <w:pPr>
        <w:ind w:left="0" w:right="0" w:firstLine="71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Sposób identyfikacji obszarów nieprawidłowości w opodatkowaniu podatkiem od nieruchomości przedsiębiorców opiera się przede wszystkim na podstawie analizy następujących danych dostępnych: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w bazie ewidencji podatkowej,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w ewidencji gruntów i budynków (wypisy i mapy),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z Centralnej Ewidencji i Informacji o Działalności Gospodarczej,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z Krajowego Rejestru Sądowego,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z bazy ksiąg wieczystych,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z innych ogólnodostępnych rejestrów,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na stronach internetowych, portalach społecznościowych,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ze zdjęć satelitarnych,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z obserwacji w terenie.</w:t>
      </w:r>
    </w:p>
    <w:p w:rsidR="003036D9" w:rsidRPr="00FD55BE" w:rsidRDefault="00F65B63" w:rsidP="00FD55BE">
      <w:pPr>
        <w:ind w:left="720" w:right="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W związku z tym:</w:t>
      </w:r>
    </w:p>
    <w:p w:rsidR="003036D9" w:rsidRPr="00FD55BE" w:rsidRDefault="00F65B63" w:rsidP="00FD55BE">
      <w:pPr>
        <w:numPr>
          <w:ilvl w:val="0"/>
          <w:numId w:val="2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identyfikuje się obszar podmiotowy, w którym istnieje ryzyko naruszenia przepisów ustawy z dnia 12 stycznia 1991 r. o podatkach i opłatach lokalnych (</w:t>
      </w:r>
      <w:proofErr w:type="spellStart"/>
      <w:r w:rsidRPr="00FD55BE">
        <w:rPr>
          <w:rFonts w:ascii="Arial" w:hAnsi="Arial" w:cs="Arial"/>
          <w:sz w:val="22"/>
        </w:rPr>
        <w:t>t.j</w:t>
      </w:r>
      <w:proofErr w:type="spellEnd"/>
      <w:r w:rsidR="005B6AF5">
        <w:rPr>
          <w:rFonts w:ascii="Arial" w:hAnsi="Arial" w:cs="Arial"/>
          <w:sz w:val="22"/>
        </w:rPr>
        <w:t>. Dz. U. z 2026</w:t>
      </w:r>
      <w:r w:rsidRPr="00FD55BE">
        <w:rPr>
          <w:rFonts w:ascii="Arial" w:hAnsi="Arial" w:cs="Arial"/>
          <w:sz w:val="22"/>
        </w:rPr>
        <w:t xml:space="preserve"> r., poz. </w:t>
      </w:r>
      <w:r w:rsidR="005B6AF5">
        <w:rPr>
          <w:rFonts w:ascii="Arial" w:hAnsi="Arial" w:cs="Arial"/>
          <w:sz w:val="22"/>
        </w:rPr>
        <w:t>622</w:t>
      </w:r>
      <w:r w:rsidRPr="00FD55BE">
        <w:rPr>
          <w:rFonts w:ascii="Arial" w:hAnsi="Arial" w:cs="Arial"/>
          <w:sz w:val="22"/>
        </w:rPr>
        <w:t xml:space="preserve"> z</w:t>
      </w:r>
      <w:r w:rsidR="00E17734">
        <w:rPr>
          <w:rFonts w:ascii="Arial" w:hAnsi="Arial" w:cs="Arial"/>
          <w:sz w:val="22"/>
        </w:rPr>
        <w:t xml:space="preserve">e </w:t>
      </w:r>
      <w:r w:rsidRPr="00FD55BE">
        <w:rPr>
          <w:rFonts w:ascii="Arial" w:hAnsi="Arial" w:cs="Arial"/>
          <w:sz w:val="22"/>
        </w:rPr>
        <w:t xml:space="preserve"> zm.) jako przedsiębiorców będących podatnikami podatku od nieruchomości;</w:t>
      </w:r>
    </w:p>
    <w:p w:rsidR="003036D9" w:rsidRPr="00FD55BE" w:rsidRDefault="00F65B63" w:rsidP="00FD55BE">
      <w:pPr>
        <w:numPr>
          <w:ilvl w:val="0"/>
          <w:numId w:val="2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identyfikuje się obszary przedmiotowe, w których następuje ryzyko naruszenia przepisów ustawy o podatkach i opłatach lokalnych: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zaniżanie bądź niewykazywanie poszczególnych podstaw opodatkowania w składanych deklaracjach i informacjach,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niezgłoszenie do opodatkowania budowli związanych z prowadzoną działalnością gospodarczą,</w:t>
      </w:r>
    </w:p>
    <w:p w:rsidR="003036D9" w:rsidRPr="00FD55BE" w:rsidRDefault="00F65B63" w:rsidP="00FD55BE">
      <w:pPr>
        <w:numPr>
          <w:ilvl w:val="0"/>
          <w:numId w:val="1"/>
        </w:numPr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nieuprawnione korzystanie ze zwolnień od podatków,</w:t>
      </w:r>
    </w:p>
    <w:p w:rsidR="003036D9" w:rsidRPr="00FD55BE" w:rsidRDefault="00F65B63" w:rsidP="00FD55BE">
      <w:pPr>
        <w:numPr>
          <w:ilvl w:val="0"/>
          <w:numId w:val="1"/>
        </w:numPr>
        <w:spacing w:after="542"/>
        <w:ind w:right="0" w:hanging="42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niewłaściwe stosowanie stawek podatków i opłat lokalnych.</w:t>
      </w:r>
    </w:p>
    <w:p w:rsidR="003036D9" w:rsidRDefault="00F65B63" w:rsidP="00FD55BE">
      <w:pPr>
        <w:spacing w:after="11" w:line="265" w:lineRule="auto"/>
        <w:ind w:left="13" w:right="3"/>
        <w:rPr>
          <w:rFonts w:ascii="Arial" w:hAnsi="Arial" w:cs="Arial"/>
          <w:b/>
          <w:sz w:val="22"/>
        </w:rPr>
      </w:pPr>
      <w:r w:rsidRPr="00FD55BE">
        <w:rPr>
          <w:rFonts w:ascii="Arial" w:hAnsi="Arial" w:cs="Arial"/>
          <w:b/>
          <w:sz w:val="22"/>
        </w:rPr>
        <w:lastRenderedPageBreak/>
        <w:t>II. INFORMACJA O ZASADACH UMOŻLIWIAJĄCYCH PRZYPISANIE</w:t>
      </w:r>
      <w:r w:rsidR="00FD55BE">
        <w:rPr>
          <w:rFonts w:ascii="Arial" w:hAnsi="Arial" w:cs="Arial"/>
          <w:b/>
          <w:sz w:val="22"/>
        </w:rPr>
        <w:t xml:space="preserve"> </w:t>
      </w:r>
      <w:r w:rsidRPr="00FD55BE">
        <w:rPr>
          <w:rFonts w:ascii="Arial" w:hAnsi="Arial" w:cs="Arial"/>
          <w:b/>
          <w:sz w:val="22"/>
        </w:rPr>
        <w:t>PRZEDSIĘBIORCÓW DO WŁAŚCIWEJ DLA NICH KATEGORII RYZYKA</w:t>
      </w:r>
    </w:p>
    <w:p w:rsidR="00FD55BE" w:rsidRPr="00FD55BE" w:rsidRDefault="00FD55BE" w:rsidP="00FD55BE">
      <w:pPr>
        <w:spacing w:after="11" w:line="265" w:lineRule="auto"/>
        <w:ind w:left="13" w:right="3"/>
        <w:rPr>
          <w:rFonts w:ascii="Arial" w:hAnsi="Arial" w:cs="Arial"/>
          <w:b/>
          <w:sz w:val="22"/>
        </w:rPr>
      </w:pPr>
    </w:p>
    <w:p w:rsidR="003036D9" w:rsidRPr="00FD55BE" w:rsidRDefault="00F65B63" w:rsidP="00FD55BE">
      <w:pPr>
        <w:ind w:left="0" w:right="0" w:firstLine="71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Na podstawie art. 47 ust. 1a ustawy Prawo przedsiębiorców „organ kontroli zamieszcza w Biuletynie Informacji Publicznej na stronie podmiotowej urzędu obsługującego ten organ informację o zasadach umożliwiających przypisanie przedsiębiorców do właściwej dla nich kategorii ryzyka, na podstawie dotychczasowej okresowej analizy, o której mowa w ust. 1, w terminie 3 miesięcy od dnia przyjęcia kolejnej okresowej analizy, zastępującej dotychczasową okresową analizę, z wyjątkiem informacji niejawnych oraz innych informacji stanowiących tajemnicę prawnie chronioną. Zakres udostępnianych informacji podlega ograniczeniu również ze względu na prywatność osoby fizycznej oraz tajemnicę przedsiębiorcy”.</w:t>
      </w:r>
    </w:p>
    <w:p w:rsidR="003036D9" w:rsidRPr="00FD55BE" w:rsidRDefault="00F65B63" w:rsidP="00FD55BE">
      <w:pPr>
        <w:ind w:left="0" w:right="0" w:firstLine="71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Mając na uwadze powyższe oraz określone przez organ kontrolujący obszary przedmiotowe i podmiotowe wyznacza się następujące kategorie ryzyka:</w:t>
      </w:r>
    </w:p>
    <w:p w:rsidR="003036D9" w:rsidRPr="00FD55BE" w:rsidRDefault="00F65B63" w:rsidP="00FD55BE">
      <w:pPr>
        <w:ind w:left="355" w:right="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1) kategoria niska – dla przedsiębiorców:</w:t>
      </w:r>
    </w:p>
    <w:p w:rsidR="003036D9" w:rsidRPr="00FD55BE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składających w ustawowych terminach deklaracje na podatek od nieruchomości oraz informacje o nieruchomościach i obiektach budowlanych,</w:t>
      </w:r>
    </w:p>
    <w:p w:rsidR="003036D9" w:rsidRPr="00FD55BE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nieposiadających zaległości w płatnościach w podatku od nieruchomości,</w:t>
      </w:r>
    </w:p>
    <w:p w:rsidR="003036D9" w:rsidRPr="00FD55BE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informujących organ podatkowy o wszelkich zmianach mających wpływ na ustalenie wysokości podatku od nieruchomości w terminach przewidzianych przepisami prawa,</w:t>
      </w:r>
    </w:p>
    <w:p w:rsidR="005C0A9F" w:rsidRDefault="00F65B63" w:rsidP="00FD55BE">
      <w:pPr>
        <w:numPr>
          <w:ilvl w:val="0"/>
          <w:numId w:val="3"/>
        </w:numPr>
        <w:spacing w:after="0" w:line="378" w:lineRule="auto"/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 xml:space="preserve">aktualizujących dane bez wezwania organu podatkowego; </w:t>
      </w:r>
    </w:p>
    <w:p w:rsidR="003036D9" w:rsidRPr="00FD55BE" w:rsidRDefault="00F65B63" w:rsidP="005C0A9F">
      <w:pPr>
        <w:spacing w:after="0" w:line="378" w:lineRule="auto"/>
        <w:ind w:left="720" w:right="0" w:hanging="294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2) kategoria średnia – dla przedsiębiorców:</w:t>
      </w:r>
    </w:p>
    <w:p w:rsidR="003036D9" w:rsidRPr="00FD55BE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mających sporadyczne opóźnienia w składaniu deklaracji na podatek od nieruchomości oraz informacji o nieruchomościach i obiektach budowlanych,</w:t>
      </w:r>
    </w:p>
    <w:p w:rsidR="003036D9" w:rsidRPr="00FD55BE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u których w analizowanych deklaracjach odnotowano sporadyczne błędy o charakterze formalnym,</w:t>
      </w:r>
    </w:p>
    <w:p w:rsidR="003036D9" w:rsidRPr="00FD55BE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odpowiadających na wezwania organu podatkowego bez zbędnej zwłoki,</w:t>
      </w:r>
    </w:p>
    <w:p w:rsidR="003036D9" w:rsidRPr="00FD55BE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posiadający drobne opóźnienia w płatnościach w podatku od nieruchomości,</w:t>
      </w:r>
    </w:p>
    <w:p w:rsidR="004A2AFC" w:rsidRDefault="00F65B63" w:rsidP="00FD55BE">
      <w:pPr>
        <w:numPr>
          <w:ilvl w:val="0"/>
          <w:numId w:val="3"/>
        </w:numPr>
        <w:spacing w:after="62" w:line="326" w:lineRule="auto"/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 xml:space="preserve">u których stwierdzone nieprawidłowości były usuwane po wezwaniu organu podatkowego i nie miały charakteru powtarzalnego ani umyślnego; </w:t>
      </w:r>
    </w:p>
    <w:p w:rsidR="003036D9" w:rsidRPr="00FD55BE" w:rsidRDefault="00F65B63" w:rsidP="004A2AFC">
      <w:pPr>
        <w:spacing w:after="62" w:line="326" w:lineRule="auto"/>
        <w:ind w:left="720" w:right="0" w:hanging="294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3) kategoria wysoka – dla przedsiębiorców:</w:t>
      </w:r>
    </w:p>
    <w:p w:rsidR="003036D9" w:rsidRPr="00FD55BE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 xml:space="preserve">nieterminowo składających deklaracje na podatek od nieruchomości oraz informacje </w:t>
      </w:r>
      <w:r w:rsidR="005B6AF5">
        <w:rPr>
          <w:rFonts w:ascii="Arial" w:hAnsi="Arial" w:cs="Arial"/>
          <w:sz w:val="22"/>
        </w:rPr>
        <w:br/>
      </w:r>
      <w:r w:rsidRPr="00FD55BE">
        <w:rPr>
          <w:rFonts w:ascii="Arial" w:hAnsi="Arial" w:cs="Arial"/>
          <w:sz w:val="22"/>
        </w:rPr>
        <w:t>o nieruchomościach i obiektach budowlanych lub uporczywie uchylających się od ich składania,</w:t>
      </w:r>
    </w:p>
    <w:p w:rsidR="003036D9" w:rsidRPr="00FD55BE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u których stwierdzono powtarzające się błędy formalne i merytoryczne wpływające na wysokość zobowiązania podatkowego,</w:t>
      </w:r>
    </w:p>
    <w:p w:rsidR="003036D9" w:rsidRPr="00FD55BE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FD55BE">
        <w:rPr>
          <w:rFonts w:ascii="Arial" w:hAnsi="Arial" w:cs="Arial"/>
          <w:sz w:val="22"/>
        </w:rPr>
        <w:t>nieinformujących organu podatkowego o zmianach mających wpływ na powstanie obowiązku podatkowego lub wysokość zobowiązania podatkowego,</w:t>
      </w:r>
    </w:p>
    <w:p w:rsidR="003036D9" w:rsidRPr="005B6AF5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5B6AF5">
        <w:rPr>
          <w:rFonts w:ascii="Arial" w:hAnsi="Arial" w:cs="Arial"/>
          <w:sz w:val="22"/>
        </w:rPr>
        <w:t>posiadających zaległości w płatnościach w podatku od nieruchomości, w tym zaległości długotrwałe lub znacznej wysokości,</w:t>
      </w:r>
    </w:p>
    <w:p w:rsidR="003036D9" w:rsidRPr="005B6AF5" w:rsidRDefault="00F65B63" w:rsidP="00FD55BE">
      <w:pPr>
        <w:numPr>
          <w:ilvl w:val="0"/>
          <w:numId w:val="3"/>
        </w:numPr>
        <w:ind w:right="0" w:hanging="360"/>
        <w:rPr>
          <w:rFonts w:ascii="Arial" w:hAnsi="Arial" w:cs="Arial"/>
          <w:sz w:val="22"/>
        </w:rPr>
      </w:pPr>
      <w:r w:rsidRPr="005B6AF5">
        <w:rPr>
          <w:rFonts w:ascii="Arial" w:hAnsi="Arial" w:cs="Arial"/>
          <w:sz w:val="22"/>
        </w:rPr>
        <w:t>niewspółpracujących z organem podatkowym, w szczególności nieodpowiadających na wezwania lub utrudniających czynności sprawdzające lub kontrolne.</w:t>
      </w:r>
    </w:p>
    <w:sectPr w:rsidR="003036D9" w:rsidRPr="005B6AF5">
      <w:pgSz w:w="11906" w:h="16838"/>
      <w:pgMar w:top="1145" w:right="1136" w:bottom="1418" w:left="113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666B0"/>
    <w:multiLevelType w:val="hybridMultilevel"/>
    <w:tmpl w:val="4F94637C"/>
    <w:lvl w:ilvl="0" w:tplc="EF1832DC">
      <w:start w:val="1"/>
      <w:numFmt w:val="lowerLetter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D4546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AAFBA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8ADB4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C8BD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16D42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A6198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8648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3AAFD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0F9330B"/>
    <w:multiLevelType w:val="hybridMultilevel"/>
    <w:tmpl w:val="B59474F8"/>
    <w:lvl w:ilvl="0" w:tplc="C632EED4">
      <w:start w:val="1"/>
      <w:numFmt w:val="bullet"/>
      <w:lvlText w:val="•"/>
      <w:lvlJc w:val="left"/>
      <w:pPr>
        <w:ind w:left="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BE2A18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E6B5B0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06484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18FD0A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0C76D8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647992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7AE68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3AA218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9384C9E"/>
    <w:multiLevelType w:val="hybridMultilevel"/>
    <w:tmpl w:val="0702357A"/>
    <w:lvl w:ilvl="0" w:tplc="109818EE">
      <w:start w:val="1"/>
      <w:numFmt w:val="bullet"/>
      <w:lvlText w:val="•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568C48">
      <w:start w:val="1"/>
      <w:numFmt w:val="bullet"/>
      <w:lvlText w:val="o"/>
      <w:lvlJc w:val="left"/>
      <w:pPr>
        <w:ind w:left="1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C61B7E">
      <w:start w:val="1"/>
      <w:numFmt w:val="bullet"/>
      <w:lvlText w:val="▪"/>
      <w:lvlJc w:val="left"/>
      <w:pPr>
        <w:ind w:left="2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506E16">
      <w:start w:val="1"/>
      <w:numFmt w:val="bullet"/>
      <w:lvlText w:val="•"/>
      <w:lvlJc w:val="left"/>
      <w:pPr>
        <w:ind w:left="3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5AF250">
      <w:start w:val="1"/>
      <w:numFmt w:val="bullet"/>
      <w:lvlText w:val="o"/>
      <w:lvlJc w:val="left"/>
      <w:pPr>
        <w:ind w:left="3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2215B4">
      <w:start w:val="1"/>
      <w:numFmt w:val="bullet"/>
      <w:lvlText w:val="▪"/>
      <w:lvlJc w:val="left"/>
      <w:pPr>
        <w:ind w:left="4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801FA8">
      <w:start w:val="1"/>
      <w:numFmt w:val="bullet"/>
      <w:lvlText w:val="•"/>
      <w:lvlJc w:val="left"/>
      <w:pPr>
        <w:ind w:left="5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2E5574">
      <w:start w:val="1"/>
      <w:numFmt w:val="bullet"/>
      <w:lvlText w:val="o"/>
      <w:lvlJc w:val="left"/>
      <w:pPr>
        <w:ind w:left="5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D24092">
      <w:start w:val="1"/>
      <w:numFmt w:val="bullet"/>
      <w:lvlText w:val="▪"/>
      <w:lvlJc w:val="left"/>
      <w:pPr>
        <w:ind w:left="6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6D9"/>
    <w:rsid w:val="003036D9"/>
    <w:rsid w:val="004A2AFC"/>
    <w:rsid w:val="005A11E9"/>
    <w:rsid w:val="005B6AF5"/>
    <w:rsid w:val="005C0A9F"/>
    <w:rsid w:val="00E17734"/>
    <w:rsid w:val="00F437F6"/>
    <w:rsid w:val="00F65B63"/>
    <w:rsid w:val="00FD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15" w:line="270" w:lineRule="auto"/>
      <w:ind w:left="10" w:right="1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8"/>
      <w:ind w:right="2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15" w:line="270" w:lineRule="auto"/>
      <w:ind w:left="10" w:right="1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8"/>
      <w:ind w:right="2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Janik</dc:creator>
  <cp:lastModifiedBy>Oktawian Biniek</cp:lastModifiedBy>
  <cp:revision>2</cp:revision>
  <dcterms:created xsi:type="dcterms:W3CDTF">2026-07-10T06:08:00Z</dcterms:created>
  <dcterms:modified xsi:type="dcterms:W3CDTF">2026-07-10T06:08:00Z</dcterms:modified>
</cp:coreProperties>
</file>